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C50" w:rsidRPr="00416C36" w:rsidRDefault="00CD45AB" w:rsidP="00792C50">
      <w:pPr>
        <w:rPr>
          <w:rFonts w:eastAsia="Times New Roman" w:cs="Times New Roman"/>
          <w:b/>
          <w:bCs/>
          <w:sz w:val="24"/>
          <w:szCs w:val="24"/>
          <w:lang w:eastAsia="de-DE"/>
        </w:rPr>
      </w:pPr>
      <w:r w:rsidRPr="00416C36">
        <w:rPr>
          <w:rFonts w:eastAsia="Times New Roman" w:cs="Times New Roman"/>
          <w:b/>
          <w:bCs/>
          <w:sz w:val="48"/>
          <w:szCs w:val="48"/>
          <w:lang w:eastAsia="de-DE"/>
        </w:rPr>
        <w:t>MatheGrafix-Hilfe: Stochastik</w:t>
      </w:r>
      <w:r w:rsidR="009A1B85" w:rsidRPr="00416C36">
        <w:rPr>
          <w:rFonts w:eastAsia="Times New Roman" w:cs="Times New Roman"/>
          <w:b/>
          <w:bCs/>
          <w:sz w:val="48"/>
          <w:szCs w:val="48"/>
          <w:lang w:eastAsia="de-DE"/>
        </w:rPr>
        <w:br/>
      </w:r>
      <w:r w:rsidR="00792C50" w:rsidRPr="00416C36">
        <w:rPr>
          <w:rFonts w:eastAsia="Times New Roman" w:cs="Times New Roman"/>
          <w:b/>
          <w:bCs/>
          <w:sz w:val="24"/>
          <w:szCs w:val="24"/>
          <w:lang w:eastAsia="de-DE"/>
        </w:rPr>
        <w:br/>
        <w:t xml:space="preserve">Inhalt der Webseiten </w:t>
      </w:r>
    </w:p>
    <w:p w:rsidR="00792C50" w:rsidRPr="00416C36" w:rsidRDefault="00641D5F" w:rsidP="00792C50">
      <w:pPr>
        <w:pStyle w:val="Listenabsatz"/>
        <w:numPr>
          <w:ilvl w:val="0"/>
          <w:numId w:val="30"/>
        </w:numPr>
        <w:rPr>
          <w:rFonts w:eastAsia="Times New Roman" w:cs="Times New Roman"/>
          <w:b/>
          <w:bCs/>
          <w:sz w:val="24"/>
          <w:szCs w:val="24"/>
          <w:lang w:eastAsia="de-DE"/>
        </w:rPr>
      </w:pPr>
      <w:hyperlink r:id="rId7" w:history="1">
        <w:r w:rsidRPr="00206993">
          <w:rPr>
            <w:rStyle w:val="Hyperlink"/>
            <w:rFonts w:eastAsia="Times New Roman" w:cs="Times New Roman"/>
            <w:b/>
            <w:bCs/>
            <w:sz w:val="24"/>
            <w:szCs w:val="24"/>
            <w:lang w:eastAsia="de-DE"/>
          </w:rPr>
          <w:t>https://www.mathegrafix.de/tutorial/stoch5a.html</w:t>
        </w:r>
      </w:hyperlink>
      <w:r w:rsidR="00792C50" w:rsidRPr="00416C36">
        <w:rPr>
          <w:rFonts w:eastAsia="Times New Roman" w:cs="Times New Roman"/>
          <w:b/>
          <w:bCs/>
          <w:sz w:val="24"/>
          <w:szCs w:val="24"/>
          <w:lang w:eastAsia="de-DE"/>
        </w:rPr>
        <w:t>,</w:t>
      </w:r>
    </w:p>
    <w:p w:rsidR="00792C50" w:rsidRPr="00416C36" w:rsidRDefault="00641D5F" w:rsidP="00792C50">
      <w:pPr>
        <w:pStyle w:val="Listenabsatz"/>
        <w:numPr>
          <w:ilvl w:val="0"/>
          <w:numId w:val="30"/>
        </w:numPr>
        <w:rPr>
          <w:rFonts w:eastAsia="Times New Roman" w:cs="Times New Roman"/>
          <w:b/>
          <w:bCs/>
          <w:sz w:val="24"/>
          <w:szCs w:val="24"/>
          <w:lang w:eastAsia="de-DE"/>
        </w:rPr>
      </w:pPr>
      <w:hyperlink r:id="rId8" w:history="1">
        <w:r w:rsidRPr="00206993">
          <w:rPr>
            <w:rStyle w:val="Hyperlink"/>
            <w:rFonts w:eastAsia="Times New Roman" w:cs="Times New Roman"/>
            <w:b/>
            <w:bCs/>
            <w:sz w:val="24"/>
            <w:szCs w:val="24"/>
            <w:lang w:eastAsia="de-DE"/>
          </w:rPr>
          <w:t>https://www.mathegrafix.de/tutorial/stoch5b.html</w:t>
        </w:r>
      </w:hyperlink>
      <w:r w:rsidR="00792C50" w:rsidRPr="00416C36">
        <w:rPr>
          <w:rFonts w:eastAsia="Times New Roman" w:cs="Times New Roman"/>
          <w:b/>
          <w:bCs/>
          <w:sz w:val="24"/>
          <w:szCs w:val="24"/>
          <w:lang w:eastAsia="de-DE"/>
        </w:rPr>
        <w:t>,</w:t>
      </w:r>
    </w:p>
    <w:p w:rsidR="00792C50" w:rsidRPr="00416C36" w:rsidRDefault="00641D5F" w:rsidP="00792C50">
      <w:pPr>
        <w:pStyle w:val="Listenabsatz"/>
        <w:numPr>
          <w:ilvl w:val="0"/>
          <w:numId w:val="30"/>
        </w:numPr>
        <w:rPr>
          <w:rFonts w:eastAsia="Times New Roman" w:cs="Times New Roman"/>
          <w:b/>
          <w:bCs/>
          <w:sz w:val="24"/>
          <w:szCs w:val="24"/>
          <w:lang w:eastAsia="de-DE"/>
        </w:rPr>
      </w:pPr>
      <w:hyperlink r:id="rId9" w:history="1">
        <w:r w:rsidRPr="00206993">
          <w:rPr>
            <w:rStyle w:val="Hyperlink"/>
            <w:rFonts w:eastAsia="Times New Roman" w:cs="Times New Roman"/>
            <w:b/>
            <w:bCs/>
            <w:sz w:val="24"/>
            <w:szCs w:val="24"/>
            <w:lang w:eastAsia="de-DE"/>
          </w:rPr>
          <w:t>https://www.mathegrafix.de/tutorial/stoch5c.html</w:t>
        </w:r>
      </w:hyperlink>
      <w:r w:rsidR="00792C50" w:rsidRPr="00416C36">
        <w:rPr>
          <w:rFonts w:eastAsia="Times New Roman" w:cs="Times New Roman"/>
          <w:b/>
          <w:bCs/>
          <w:sz w:val="24"/>
          <w:szCs w:val="24"/>
          <w:lang w:eastAsia="de-DE"/>
        </w:rPr>
        <w:t xml:space="preserve"> und</w:t>
      </w:r>
    </w:p>
    <w:p w:rsidR="00792C50" w:rsidRPr="00416C36" w:rsidRDefault="00641D5F" w:rsidP="00792C50">
      <w:pPr>
        <w:pStyle w:val="Listenabsatz"/>
        <w:numPr>
          <w:ilvl w:val="0"/>
          <w:numId w:val="30"/>
        </w:numPr>
        <w:rPr>
          <w:rFonts w:eastAsia="Times New Roman" w:cs="Times New Roman"/>
          <w:b/>
          <w:bCs/>
          <w:sz w:val="24"/>
          <w:szCs w:val="24"/>
          <w:lang w:eastAsia="de-DE"/>
        </w:rPr>
      </w:pPr>
      <w:hyperlink r:id="rId10" w:history="1">
        <w:r w:rsidRPr="00206993">
          <w:rPr>
            <w:rStyle w:val="Hyperlink"/>
            <w:rFonts w:eastAsia="Times New Roman" w:cs="Times New Roman"/>
            <w:b/>
            <w:bCs/>
            <w:sz w:val="24"/>
            <w:szCs w:val="24"/>
            <w:lang w:eastAsia="de-DE"/>
          </w:rPr>
          <w:t>https://www.mathegrafix.de/tutorial/stoch5d.html</w:t>
        </w:r>
      </w:hyperlink>
    </w:p>
    <w:p w:rsidR="00792C50" w:rsidRPr="00416C36" w:rsidRDefault="00792C50" w:rsidP="00792C50">
      <w:pPr>
        <w:rPr>
          <w:rFonts w:eastAsia="Times New Roman" w:cs="Times New Roman"/>
          <w:b/>
          <w:bCs/>
          <w:sz w:val="24"/>
          <w:szCs w:val="24"/>
          <w:lang w:eastAsia="de-DE"/>
        </w:rPr>
      </w:pPr>
      <w:r w:rsidRPr="00416C36">
        <w:rPr>
          <w:rFonts w:eastAsia="Times New Roman" w:cs="Times New Roman"/>
          <w:b/>
          <w:bCs/>
          <w:sz w:val="24"/>
          <w:szCs w:val="24"/>
          <w:lang w:eastAsia="de-DE"/>
        </w:rPr>
        <w:t>von Roland Hammes</w:t>
      </w:r>
    </w:p>
    <w:p w:rsidR="00CD45AB" w:rsidRPr="00416C36" w:rsidRDefault="00CD45AB">
      <w:pPr>
        <w:rPr>
          <w:rFonts w:eastAsia="Times New Roman" w:cs="Times New Roman"/>
          <w:b/>
          <w:bCs/>
          <w:sz w:val="24"/>
          <w:szCs w:val="24"/>
          <w:lang w:eastAsia="de-DE"/>
        </w:rPr>
      </w:pPr>
    </w:p>
    <w:p w:rsidR="009A1B85" w:rsidRPr="00416C36" w:rsidRDefault="009A1B85">
      <w:pPr>
        <w:rPr>
          <w:rFonts w:eastAsia="Times New Roman" w:cs="Times New Roman"/>
          <w:b/>
          <w:bCs/>
          <w:sz w:val="36"/>
          <w:szCs w:val="36"/>
          <w:lang w:eastAsia="de-DE"/>
        </w:rPr>
      </w:pPr>
    </w:p>
    <w:p w:rsidR="00792C50" w:rsidRPr="00416C36" w:rsidRDefault="00792C50">
      <w:pPr>
        <w:rPr>
          <w:rFonts w:eastAsia="Times New Roman" w:cs="Times New Roman"/>
          <w:b/>
          <w:bCs/>
          <w:sz w:val="36"/>
          <w:szCs w:val="36"/>
          <w:lang w:eastAsia="de-DE"/>
        </w:rPr>
      </w:pPr>
    </w:p>
    <w:p w:rsidR="007C25A3" w:rsidRPr="00416C36" w:rsidRDefault="007C25A3">
      <w:pPr>
        <w:rPr>
          <w:rFonts w:eastAsia="Times New Roman" w:cs="Times New Roman"/>
          <w:b/>
          <w:bCs/>
          <w:sz w:val="36"/>
          <w:szCs w:val="36"/>
          <w:lang w:eastAsia="de-DE"/>
        </w:rPr>
      </w:pPr>
      <w:r w:rsidRPr="00416C36">
        <w:rPr>
          <w:rFonts w:eastAsia="Times New Roman" w:cs="Times New Roman"/>
          <w:b/>
          <w:bCs/>
          <w:sz w:val="36"/>
          <w:szCs w:val="36"/>
          <w:lang w:eastAsia="de-DE"/>
        </w:rPr>
        <w:t>Inhalt</w:t>
      </w:r>
      <w:r w:rsidR="00CD45AB" w:rsidRPr="00416C36">
        <w:rPr>
          <w:rFonts w:eastAsia="Times New Roman" w:cs="Times New Roman"/>
          <w:b/>
          <w:bCs/>
          <w:sz w:val="36"/>
          <w:szCs w:val="36"/>
          <w:lang w:eastAsia="de-DE"/>
        </w:rPr>
        <w:t xml:space="preserve">: </w:t>
      </w:r>
      <w:r w:rsidR="0056590B" w:rsidRPr="00416C36">
        <w:rPr>
          <w:rFonts w:eastAsia="Times New Roman" w:cs="Times New Roman"/>
          <w:b/>
          <w:bCs/>
          <w:sz w:val="36"/>
          <w:szCs w:val="36"/>
          <w:lang w:eastAsia="de-DE"/>
        </w:rPr>
        <w:t>Testen von Hypothesen</w:t>
      </w:r>
    </w:p>
    <w:p w:rsidR="00CD45AB" w:rsidRPr="00416C36" w:rsidRDefault="00CD45AB">
      <w:pPr>
        <w:rPr>
          <w:rFonts w:eastAsia="Times New Roman" w:cs="Times New Roman"/>
          <w:b/>
          <w:bCs/>
          <w:sz w:val="36"/>
          <w:szCs w:val="36"/>
          <w:lang w:eastAsia="de-DE"/>
        </w:rPr>
      </w:pPr>
    </w:p>
    <w:p w:rsidR="00514B17" w:rsidRPr="00416C36" w:rsidRDefault="00A911A7" w:rsidP="00514B17">
      <w:pPr>
        <w:pStyle w:val="berschrift2"/>
        <w:rPr>
          <w:rFonts w:asciiTheme="minorHAnsi" w:hAnsiTheme="minorHAnsi"/>
        </w:rPr>
      </w:pPr>
      <w:r w:rsidRPr="00416C36">
        <w:rPr>
          <w:rFonts w:asciiTheme="minorHAnsi" w:hAnsiTheme="minorHAnsi"/>
        </w:rPr>
        <w:br/>
      </w:r>
      <w:r w:rsidR="00514B17" w:rsidRPr="00416C36">
        <w:rPr>
          <w:rFonts w:asciiTheme="minorHAnsi" w:hAnsiTheme="minorHAnsi"/>
        </w:rPr>
        <w:t xml:space="preserve">Aufgaben: </w:t>
      </w:r>
      <w:r w:rsidR="00434CFA" w:rsidRPr="00416C36">
        <w:rPr>
          <w:rFonts w:asciiTheme="minorHAnsi" w:hAnsiTheme="minorHAnsi"/>
        </w:rPr>
        <w:t>Testen von Hypothesen</w:t>
      </w:r>
      <w:r w:rsidRPr="00416C36">
        <w:rPr>
          <w:rFonts w:asciiTheme="minorHAnsi" w:hAnsiTheme="minorHAnsi"/>
        </w:rPr>
        <w:br/>
      </w:r>
    </w:p>
    <w:p w:rsidR="00CD45AB" w:rsidRPr="00416C36" w:rsidRDefault="00434CFA" w:rsidP="00CD45AB">
      <w:pPr>
        <w:pStyle w:val="Listenabsatz"/>
        <w:numPr>
          <w:ilvl w:val="0"/>
          <w:numId w:val="14"/>
        </w:numPr>
        <w:spacing w:before="100" w:beforeAutospacing="1" w:after="100" w:afterAutospacing="1" w:line="240" w:lineRule="auto"/>
        <w:outlineLvl w:val="3"/>
        <w:rPr>
          <w:rFonts w:eastAsia="Times New Roman" w:cs="Times New Roman"/>
          <w:b/>
          <w:bCs/>
          <w:sz w:val="24"/>
          <w:szCs w:val="24"/>
          <w:lang w:eastAsia="de-DE"/>
        </w:rPr>
      </w:pPr>
      <w:r w:rsidRPr="00416C36">
        <w:rPr>
          <w:rFonts w:eastAsia="Times New Roman" w:cs="Times New Roman"/>
          <w:b/>
          <w:bCs/>
          <w:sz w:val="24"/>
          <w:szCs w:val="24"/>
          <w:lang w:eastAsia="de-DE"/>
        </w:rPr>
        <w:t>Testen: Linksseitiger Test, Fehler 1. und 2. Art</w:t>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641D5F">
        <w:rPr>
          <w:rFonts w:eastAsia="Times New Roman" w:cs="Times New Roman"/>
          <w:b/>
          <w:bCs/>
          <w:sz w:val="24"/>
          <w:szCs w:val="24"/>
          <w:lang w:eastAsia="de-DE"/>
        </w:rPr>
        <w:tab/>
      </w:r>
      <w:r w:rsidR="00A911A7" w:rsidRPr="00416C36">
        <w:rPr>
          <w:rFonts w:eastAsia="Times New Roman" w:cs="Times New Roman"/>
          <w:b/>
          <w:bCs/>
          <w:sz w:val="24"/>
          <w:szCs w:val="24"/>
          <w:lang w:eastAsia="de-DE"/>
        </w:rPr>
        <w:t>- 2 -</w:t>
      </w:r>
      <w:r w:rsidR="00CD45AB" w:rsidRPr="00416C36">
        <w:rPr>
          <w:rFonts w:eastAsia="Times New Roman" w:cs="Times New Roman"/>
          <w:b/>
          <w:bCs/>
          <w:sz w:val="24"/>
          <w:szCs w:val="24"/>
          <w:lang w:eastAsia="de-DE"/>
        </w:rPr>
        <w:br/>
      </w:r>
    </w:p>
    <w:p w:rsidR="00434CFA" w:rsidRPr="00416C36" w:rsidRDefault="00434CFA" w:rsidP="00434CFA">
      <w:pPr>
        <w:pStyle w:val="Listenabsatz"/>
        <w:numPr>
          <w:ilvl w:val="0"/>
          <w:numId w:val="14"/>
        </w:numPr>
        <w:spacing w:before="100" w:beforeAutospacing="1" w:after="100" w:afterAutospacing="1" w:line="240" w:lineRule="auto"/>
        <w:outlineLvl w:val="3"/>
        <w:rPr>
          <w:rFonts w:eastAsia="Times New Roman" w:cs="Times New Roman"/>
          <w:b/>
          <w:bCs/>
          <w:sz w:val="24"/>
          <w:szCs w:val="24"/>
          <w:lang w:eastAsia="de-DE"/>
        </w:rPr>
      </w:pPr>
      <w:r w:rsidRPr="00416C36">
        <w:rPr>
          <w:rFonts w:eastAsia="Times New Roman" w:cs="Times New Roman"/>
          <w:b/>
          <w:bCs/>
          <w:sz w:val="24"/>
          <w:szCs w:val="24"/>
          <w:lang w:eastAsia="de-DE"/>
        </w:rPr>
        <w:t>Testen: Rechtsseitiger Test</w:t>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t>- 5 -</w:t>
      </w:r>
      <w:r w:rsidRPr="00416C36">
        <w:rPr>
          <w:rFonts w:eastAsia="Times New Roman" w:cs="Times New Roman"/>
          <w:b/>
          <w:bCs/>
          <w:sz w:val="24"/>
          <w:szCs w:val="24"/>
          <w:lang w:eastAsia="de-DE"/>
        </w:rPr>
        <w:br/>
      </w:r>
    </w:p>
    <w:p w:rsidR="00B14B24" w:rsidRPr="00416C36" w:rsidRDefault="00B14B24" w:rsidP="00B14B24">
      <w:pPr>
        <w:pStyle w:val="Listenabsatz"/>
        <w:numPr>
          <w:ilvl w:val="0"/>
          <w:numId w:val="14"/>
        </w:numPr>
        <w:spacing w:before="100" w:beforeAutospacing="1" w:after="100" w:afterAutospacing="1" w:line="240" w:lineRule="auto"/>
        <w:outlineLvl w:val="3"/>
        <w:rPr>
          <w:rFonts w:eastAsia="Times New Roman" w:cs="Times New Roman"/>
          <w:b/>
          <w:bCs/>
          <w:sz w:val="24"/>
          <w:szCs w:val="24"/>
          <w:lang w:eastAsia="de-DE"/>
        </w:rPr>
      </w:pPr>
      <w:r w:rsidRPr="00416C36">
        <w:rPr>
          <w:rFonts w:eastAsia="Times New Roman" w:cs="Times New Roman"/>
          <w:b/>
          <w:bCs/>
          <w:sz w:val="24"/>
          <w:szCs w:val="24"/>
          <w:lang w:eastAsia="de-DE"/>
        </w:rPr>
        <w:t>Testen: Beidseitiger Test</w:t>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641D5F">
        <w:rPr>
          <w:rFonts w:eastAsia="Times New Roman" w:cs="Times New Roman"/>
          <w:b/>
          <w:bCs/>
          <w:sz w:val="24"/>
          <w:szCs w:val="24"/>
          <w:lang w:eastAsia="de-DE"/>
        </w:rPr>
        <w:tab/>
      </w:r>
      <w:bookmarkStart w:id="0" w:name="_GoBack"/>
      <w:bookmarkEnd w:id="0"/>
      <w:r w:rsidR="00A911A7" w:rsidRPr="00416C36">
        <w:rPr>
          <w:rFonts w:eastAsia="Times New Roman" w:cs="Times New Roman"/>
          <w:b/>
          <w:bCs/>
          <w:sz w:val="24"/>
          <w:szCs w:val="24"/>
          <w:lang w:eastAsia="de-DE"/>
        </w:rPr>
        <w:t>- 7 -</w:t>
      </w:r>
      <w:r w:rsidRPr="00416C36">
        <w:rPr>
          <w:rFonts w:eastAsia="Times New Roman" w:cs="Times New Roman"/>
          <w:b/>
          <w:bCs/>
          <w:sz w:val="24"/>
          <w:szCs w:val="24"/>
          <w:lang w:eastAsia="de-DE"/>
        </w:rPr>
        <w:br/>
      </w:r>
    </w:p>
    <w:p w:rsidR="007C25A3" w:rsidRPr="00416C36" w:rsidRDefault="002159C7" w:rsidP="000E4A0E">
      <w:pPr>
        <w:pStyle w:val="Listenabsatz"/>
        <w:numPr>
          <w:ilvl w:val="0"/>
          <w:numId w:val="14"/>
        </w:numPr>
        <w:spacing w:before="100" w:beforeAutospacing="1" w:after="100" w:afterAutospacing="1" w:line="240" w:lineRule="auto"/>
        <w:outlineLvl w:val="3"/>
        <w:rPr>
          <w:rFonts w:eastAsia="Times New Roman" w:cs="Times New Roman"/>
          <w:b/>
          <w:bCs/>
          <w:sz w:val="24"/>
          <w:szCs w:val="24"/>
          <w:lang w:eastAsia="de-DE"/>
        </w:rPr>
      </w:pPr>
      <w:r w:rsidRPr="00416C36">
        <w:rPr>
          <w:rFonts w:eastAsia="Times New Roman" w:cs="Times New Roman"/>
          <w:b/>
          <w:bCs/>
          <w:sz w:val="24"/>
          <w:szCs w:val="24"/>
          <w:lang w:eastAsia="de-DE"/>
        </w:rPr>
        <w:t>Testen: Vorgegebener Ablehnungsbereich</w:t>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r>
      <w:r w:rsidR="00A911A7" w:rsidRPr="00416C36">
        <w:rPr>
          <w:rFonts w:eastAsia="Times New Roman" w:cs="Times New Roman"/>
          <w:b/>
          <w:bCs/>
          <w:sz w:val="24"/>
          <w:szCs w:val="24"/>
          <w:lang w:eastAsia="de-DE"/>
        </w:rPr>
        <w:tab/>
        <w:t>- 9 -</w:t>
      </w:r>
    </w:p>
    <w:p w:rsidR="007C25A3" w:rsidRPr="00416C36" w:rsidRDefault="007C25A3">
      <w:pPr>
        <w:rPr>
          <w:rFonts w:eastAsia="Times New Roman" w:cs="Times New Roman"/>
          <w:b/>
          <w:bCs/>
          <w:sz w:val="36"/>
          <w:szCs w:val="36"/>
          <w:lang w:eastAsia="de-DE"/>
        </w:rPr>
      </w:pPr>
    </w:p>
    <w:p w:rsidR="0049166D" w:rsidRPr="00416C36" w:rsidRDefault="00CD45AB" w:rsidP="00434CFA">
      <w:pPr>
        <w:pStyle w:val="Listenabsatz"/>
        <w:spacing w:before="100" w:beforeAutospacing="1" w:after="100" w:afterAutospacing="1" w:line="240" w:lineRule="auto"/>
        <w:ind w:left="1080"/>
        <w:outlineLvl w:val="3"/>
        <w:rPr>
          <w:rFonts w:eastAsia="Times New Roman" w:cs="Times New Roman"/>
          <w:b/>
          <w:bCs/>
          <w:sz w:val="24"/>
          <w:szCs w:val="24"/>
          <w:lang w:eastAsia="de-DE"/>
        </w:rPr>
      </w:pPr>
      <w:r w:rsidRPr="00416C36">
        <w:rPr>
          <w:rFonts w:eastAsia="Times New Roman" w:cs="Times New Roman"/>
          <w:b/>
          <w:bCs/>
          <w:sz w:val="24"/>
          <w:szCs w:val="24"/>
          <w:lang w:eastAsia="de-DE"/>
        </w:rPr>
        <w:br/>
      </w:r>
    </w:p>
    <w:p w:rsidR="00CD45AB" w:rsidRPr="00416C36" w:rsidRDefault="00CD45AB" w:rsidP="0049166D">
      <w:pPr>
        <w:spacing w:before="100" w:beforeAutospacing="1" w:after="100" w:afterAutospacing="1" w:line="240" w:lineRule="auto"/>
        <w:outlineLvl w:val="3"/>
        <w:rPr>
          <w:rFonts w:eastAsia="Times New Roman" w:cs="Times New Roman"/>
          <w:b/>
          <w:bCs/>
          <w:sz w:val="24"/>
          <w:szCs w:val="24"/>
          <w:lang w:eastAsia="de-DE"/>
        </w:rPr>
      </w:pPr>
    </w:p>
    <w:p w:rsidR="0049166D" w:rsidRPr="00416C36" w:rsidRDefault="0049166D" w:rsidP="007C25A3">
      <w:pPr>
        <w:spacing w:before="100" w:beforeAutospacing="1" w:after="100" w:afterAutospacing="1" w:line="240" w:lineRule="auto"/>
        <w:outlineLvl w:val="1"/>
        <w:rPr>
          <w:rFonts w:eastAsia="Times New Roman" w:cs="Times New Roman"/>
          <w:b/>
          <w:bCs/>
          <w:sz w:val="36"/>
          <w:szCs w:val="36"/>
          <w:lang w:eastAsia="de-DE"/>
        </w:rPr>
      </w:pPr>
    </w:p>
    <w:p w:rsidR="00434CFA" w:rsidRPr="00416C36" w:rsidRDefault="007C25A3" w:rsidP="00434CFA">
      <w:pPr>
        <w:pStyle w:val="berschrift2"/>
        <w:rPr>
          <w:rFonts w:asciiTheme="minorHAnsi" w:hAnsiTheme="minorHAnsi"/>
        </w:rPr>
      </w:pPr>
      <w:r w:rsidRPr="00416C36">
        <w:rPr>
          <w:rFonts w:asciiTheme="minorHAnsi" w:hAnsiTheme="minorHAnsi"/>
        </w:rPr>
        <w:br w:type="page"/>
      </w:r>
      <w:r w:rsidR="00434CFA" w:rsidRPr="00416C36">
        <w:rPr>
          <w:rFonts w:asciiTheme="minorHAnsi" w:hAnsiTheme="minorHAnsi"/>
        </w:rPr>
        <w:lastRenderedPageBreak/>
        <w:t>Testen: Linksseitiger Test, Fehler 1. und 2. Art</w:t>
      </w:r>
    </w:p>
    <w:p w:rsidR="00434CFA" w:rsidRPr="00416C36" w:rsidRDefault="00434CFA" w:rsidP="00434CFA">
      <w:r w:rsidRPr="00416C36">
        <w:t xml:space="preserve">Testen von Hypothesen: Der Ablehnungsbereich eines linksseitigen Tests wird nach Vorgabe des Signifikanzniveaus berechnet. Außerdem wird der Fehler 2. Art bestimmt. </w:t>
      </w:r>
    </w:p>
    <w:p w:rsidR="00434CFA" w:rsidRPr="00416C36" w:rsidRDefault="00434CFA" w:rsidP="00434CFA">
      <w:pPr>
        <w:pStyle w:val="berschrift4"/>
        <w:rPr>
          <w:rFonts w:asciiTheme="minorHAnsi" w:hAnsiTheme="minorHAnsi"/>
        </w:rPr>
      </w:pPr>
    </w:p>
    <w:p w:rsidR="00434CFA" w:rsidRPr="00416C36" w:rsidRDefault="00434CFA" w:rsidP="00434CFA">
      <w:pPr>
        <w:pStyle w:val="berschrift4"/>
        <w:rPr>
          <w:rFonts w:asciiTheme="minorHAnsi" w:hAnsiTheme="minorHAnsi"/>
        </w:rPr>
      </w:pPr>
      <w:r w:rsidRPr="00416C36">
        <w:rPr>
          <w:rFonts w:asciiTheme="minorHAnsi" w:hAnsiTheme="minorHAnsi"/>
        </w:rPr>
        <w:t>Aufgabe: Linksseitiger Test, Fehler 1. und 2. Art</w:t>
      </w:r>
    </w:p>
    <w:p w:rsidR="00434CFA" w:rsidRPr="00416C36" w:rsidRDefault="00434CFA" w:rsidP="00434CFA">
      <w:pPr>
        <w:rPr>
          <w:b/>
          <w:bCs/>
        </w:rPr>
      </w:pPr>
      <w:r w:rsidRPr="00416C36">
        <w:t xml:space="preserve">Der Vertreter einer Schuhmarke behauptet, dass mindestens 70 % aller Schuhgeschäfte die von ihm vertriebene Marke führen. Bei einer Überprüfung führen von 100 Schuhgeschäften allerdings nur 62 die Marke des Vertreters. </w:t>
      </w:r>
    </w:p>
    <w:p w:rsidR="00434CFA" w:rsidRPr="00416C36" w:rsidRDefault="00434CFA" w:rsidP="00434CFA">
      <w:pPr>
        <w:numPr>
          <w:ilvl w:val="0"/>
          <w:numId w:val="24"/>
        </w:numPr>
        <w:spacing w:before="100" w:beforeAutospacing="1" w:after="100" w:afterAutospacing="1" w:line="240" w:lineRule="auto"/>
        <w:rPr>
          <w:b/>
          <w:bCs/>
        </w:rPr>
      </w:pPr>
      <w:r w:rsidRPr="00416C36">
        <w:rPr>
          <w:b/>
          <w:bCs/>
        </w:rPr>
        <w:t>Lässt sich hieraus mit einer Irrtumswahrscheinlichkeit von höchstens 10% ein Widerspruch gegen die Behauptung des Vertreters herleiten?</w:t>
      </w:r>
    </w:p>
    <w:p w:rsidR="00434CFA" w:rsidRPr="00416C36" w:rsidRDefault="00434CFA" w:rsidP="00434CFA">
      <w:pPr>
        <w:numPr>
          <w:ilvl w:val="0"/>
          <w:numId w:val="24"/>
        </w:numPr>
        <w:spacing w:before="100" w:beforeAutospacing="1" w:after="100" w:afterAutospacing="1" w:line="240" w:lineRule="auto"/>
        <w:rPr>
          <w:b/>
          <w:bCs/>
        </w:rPr>
      </w:pPr>
      <w:r w:rsidRPr="00416C36">
        <w:rPr>
          <w:b/>
          <w:bCs/>
        </w:rPr>
        <w:t>Mit welcher Wahrscheinlichkeit wird die Behauptung des Vertreters fälschlicherweise angenommen, wenn in Wirklichkeit nur 60 % aller Schuhgeschäfte die von ihm vertriebene Marke führen (Fehler 2. Art)?</w:t>
      </w:r>
    </w:p>
    <w:p w:rsidR="00434CFA" w:rsidRPr="00416C36" w:rsidRDefault="00434CFA" w:rsidP="00434CFA">
      <w:pPr>
        <w:pStyle w:val="berschrift5"/>
        <w:rPr>
          <w:rFonts w:asciiTheme="minorHAnsi" w:hAnsiTheme="minorHAnsi"/>
          <w:b/>
          <w:bCs/>
        </w:rPr>
      </w:pPr>
      <w:r w:rsidRPr="00416C36">
        <w:rPr>
          <w:rFonts w:asciiTheme="minorHAnsi" w:hAnsiTheme="minorHAnsi"/>
        </w:rPr>
        <w:t>Lösung</w:t>
      </w:r>
    </w:p>
    <w:p w:rsidR="00434CFA" w:rsidRPr="00416C36" w:rsidRDefault="00434CFA" w:rsidP="00434CFA">
      <w:r w:rsidRPr="00416C36">
        <w:rPr>
          <w:b/>
          <w:bCs/>
        </w:rPr>
        <w:t>a. Lösung: Bestimmung des Ablehnungsbereichs mit den Tabellen der Binomialverteilung und mit der Näherungsformel von de Moivre-Laplace:</w:t>
      </w:r>
      <w:r w:rsidRPr="00416C36">
        <w:t xml:space="preserve"> </w:t>
      </w:r>
    </w:p>
    <w:p w:rsidR="00434CFA" w:rsidRPr="00416C36" w:rsidRDefault="00434CFA" w:rsidP="00434CFA">
      <w:pPr>
        <w:numPr>
          <w:ilvl w:val="0"/>
          <w:numId w:val="25"/>
        </w:numPr>
        <w:spacing w:before="100" w:beforeAutospacing="1" w:after="100" w:afterAutospacing="1" w:line="240" w:lineRule="auto"/>
      </w:pPr>
      <w:r w:rsidRPr="00416C36">
        <w:t>Stichprobenumfang: n = 100</w:t>
      </w:r>
    </w:p>
    <w:p w:rsidR="00434CFA" w:rsidRPr="00416C36" w:rsidRDefault="00434CFA" w:rsidP="00434CFA">
      <w:pPr>
        <w:numPr>
          <w:ilvl w:val="0"/>
          <w:numId w:val="25"/>
        </w:numPr>
        <w:spacing w:before="100" w:beforeAutospacing="1" w:after="100" w:afterAutospacing="1" w:line="240" w:lineRule="auto"/>
      </w:pPr>
      <w:r w:rsidRPr="00416C36">
        <w:t>Ein Treffer bedeutet: Das Schuhgeschäft führt die Marke des Vertreters.</w:t>
      </w:r>
    </w:p>
    <w:p w:rsidR="00434CFA" w:rsidRPr="00416C36" w:rsidRDefault="00434CFA" w:rsidP="00434CFA">
      <w:pPr>
        <w:numPr>
          <w:ilvl w:val="0"/>
          <w:numId w:val="25"/>
        </w:numPr>
        <w:spacing w:before="100" w:beforeAutospacing="1" w:after="100" w:afterAutospacing="1" w:line="240" w:lineRule="auto"/>
      </w:pPr>
      <w:r w:rsidRPr="00416C36">
        <w:t>Anzahl der Treffer in der Stichprobe: 62</w:t>
      </w:r>
    </w:p>
    <w:p w:rsidR="00434CFA" w:rsidRPr="00416C36" w:rsidRDefault="00434CFA" w:rsidP="00434CFA">
      <w:pPr>
        <w:numPr>
          <w:ilvl w:val="0"/>
          <w:numId w:val="25"/>
        </w:numPr>
        <w:spacing w:before="100" w:beforeAutospacing="1" w:after="100" w:afterAutospacing="1" w:line="240" w:lineRule="auto"/>
      </w:pPr>
      <w:r w:rsidRPr="00416C36">
        <w:t>Zufallsgröße X: Anzahl der Treffer</w:t>
      </w:r>
    </w:p>
    <w:p w:rsidR="00434CFA" w:rsidRPr="00416C36" w:rsidRDefault="00434CFA" w:rsidP="00434CFA">
      <w:pPr>
        <w:numPr>
          <w:ilvl w:val="0"/>
          <w:numId w:val="25"/>
        </w:numPr>
        <w:spacing w:before="100" w:beforeAutospacing="1" w:after="100" w:afterAutospacing="1" w:line="240" w:lineRule="auto"/>
      </w:pPr>
      <w:r w:rsidRPr="00416C36">
        <w:t>X ist bei wahrer Nullhypothese B</w:t>
      </w:r>
      <w:r w:rsidRPr="00416C36">
        <w:rPr>
          <w:vertAlign w:val="subscript"/>
        </w:rPr>
        <w:t>100;0,7</w:t>
      </w:r>
      <w:r w:rsidRPr="00416C36">
        <w:t>-verteilt.</w:t>
      </w:r>
    </w:p>
    <w:p w:rsidR="00434CFA" w:rsidRPr="00416C36" w:rsidRDefault="00434CFA" w:rsidP="00434CFA">
      <w:pPr>
        <w:numPr>
          <w:ilvl w:val="0"/>
          <w:numId w:val="25"/>
        </w:numPr>
        <w:spacing w:before="100" w:beforeAutospacing="1" w:after="100" w:afterAutospacing="1" w:line="240" w:lineRule="auto"/>
      </w:pPr>
      <w:r w:rsidRPr="00416C36">
        <w:t>Die Hypothesen lauten: H</w:t>
      </w:r>
      <w:r w:rsidRPr="00416C36">
        <w:rPr>
          <w:vertAlign w:val="subscript"/>
        </w:rPr>
        <w:t>0</w:t>
      </w:r>
      <w:r w:rsidRPr="00416C36">
        <w:t>:p ≥ 0,7 (Die Behauptung des Vertreters sei wahr) und H</w:t>
      </w:r>
      <w:r w:rsidRPr="00416C36">
        <w:rPr>
          <w:vertAlign w:val="subscript"/>
        </w:rPr>
        <w:t>1</w:t>
      </w:r>
      <w:r w:rsidRPr="00416C36">
        <w:t>:p &lt; 0,7.</w:t>
      </w:r>
      <w:r w:rsidRPr="00416C36">
        <w:br/>
        <w:t>Da kleine Werte von X gegen H</w:t>
      </w:r>
      <w:r w:rsidRPr="00416C36">
        <w:rPr>
          <w:vertAlign w:val="subscript"/>
        </w:rPr>
        <w:t>0</w:t>
      </w:r>
      <w:r w:rsidRPr="00416C36">
        <w:t xml:space="preserve"> sprechen, handelt es sich um einen linksseitigen Test.</w:t>
      </w:r>
    </w:p>
    <w:p w:rsidR="00434CFA" w:rsidRPr="00416C36" w:rsidRDefault="00434CFA" w:rsidP="00434CFA">
      <w:pPr>
        <w:numPr>
          <w:ilvl w:val="0"/>
          <w:numId w:val="25"/>
        </w:numPr>
        <w:spacing w:before="100" w:beforeAutospacing="1" w:after="240" w:line="240" w:lineRule="auto"/>
      </w:pPr>
      <w:r w:rsidRPr="00416C36">
        <w:t>Vorgegebenes Signifikanzniveau: α = 10%</w:t>
      </w:r>
    </w:p>
    <w:p w:rsidR="00434CFA" w:rsidRPr="00416C36" w:rsidRDefault="00434CFA" w:rsidP="00434CFA">
      <w:pPr>
        <w:numPr>
          <w:ilvl w:val="0"/>
          <w:numId w:val="25"/>
        </w:numPr>
        <w:spacing w:before="100" w:beforeAutospacing="1" w:after="240" w:line="240" w:lineRule="auto"/>
      </w:pPr>
      <w:r w:rsidRPr="00416C36">
        <w:rPr>
          <w:b/>
          <w:bCs/>
        </w:rPr>
        <w:t>Bestimmung des Ablehnungsbereichs:</w:t>
      </w:r>
      <w:r w:rsidRPr="00416C36">
        <w:t xml:space="preserve"> </w:t>
      </w:r>
    </w:p>
    <w:p w:rsidR="00434CFA" w:rsidRPr="00416C36" w:rsidRDefault="00434CFA" w:rsidP="0078745D">
      <w:pPr>
        <w:numPr>
          <w:ilvl w:val="1"/>
          <w:numId w:val="25"/>
        </w:numPr>
        <w:spacing w:before="100" w:beforeAutospacing="1" w:after="240" w:line="240" w:lineRule="auto"/>
      </w:pPr>
      <w:r w:rsidRPr="00416C36">
        <w:rPr>
          <w:b/>
          <w:bCs/>
        </w:rPr>
        <w:t>Methode 1: Lösung mit den Tabellen der Binomialverteilung</w:t>
      </w:r>
      <w:r w:rsidRPr="00416C36">
        <w:br/>
      </w:r>
      <w:r w:rsidRPr="00416C36">
        <w:br/>
      </w:r>
      <w:r w:rsidR="00641D5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72.5pt">
            <v:imagedata r:id="rId11" o:title="tvh02"/>
          </v:shape>
        </w:pict>
      </w:r>
      <w:r w:rsidR="00641D5F">
        <w:lastRenderedPageBreak/>
        <w:pict>
          <v:shape id="_x0000_i1026" type="#_x0000_t75" style="width:251.25pt;height:174pt">
            <v:imagedata r:id="rId12" o:title="tvh03"/>
          </v:shape>
        </w:pict>
      </w:r>
      <w:r w:rsidRPr="00416C36">
        <w:br/>
        <w:t>Gesucht ist die größte Trefferzahl k mit P(X ≤ k) ≤ 10% = α.</w:t>
      </w:r>
      <w:r w:rsidRPr="00416C36">
        <w:br/>
        <w:t xml:space="preserve">MatheGrafix liefert den Ablehnungsbereich {0,1,...,63}. </w:t>
      </w:r>
      <w:r w:rsidRPr="00416C36">
        <w:br/>
        <w:t>Der genaue Wert für α ist bei dieser Methode 7,99%.</w:t>
      </w:r>
      <w:r w:rsidRPr="00416C36">
        <w:br/>
      </w:r>
      <w:r w:rsidRPr="00416C36">
        <w:br/>
      </w:r>
      <w:r w:rsidRPr="00416C36">
        <w:rPr>
          <w:b/>
          <w:bCs/>
        </w:rPr>
        <w:t xml:space="preserve">Bild </w:t>
      </w:r>
      <w:r w:rsidR="0078745D" w:rsidRPr="00416C36">
        <w:rPr>
          <w:b/>
          <w:bCs/>
        </w:rPr>
        <w:t>oben</w:t>
      </w:r>
      <w:r w:rsidRPr="00416C36">
        <w:rPr>
          <w:b/>
          <w:bCs/>
        </w:rPr>
        <w:t>:</w:t>
      </w:r>
      <w:r w:rsidRPr="00416C36">
        <w:t xml:space="preserve"> Diese Darstellung wird von MatheGrafix automatisch generiert. MatheGrafix berechnet den Ablehnungsbereich von 0 bis 63.</w:t>
      </w:r>
      <w:r w:rsidRPr="00416C36">
        <w:br/>
      </w:r>
      <w:r w:rsidRPr="00416C36">
        <w:rPr>
          <w:b/>
          <w:bCs/>
        </w:rPr>
        <w:t xml:space="preserve">Bild </w:t>
      </w:r>
      <w:r w:rsidR="0078745D" w:rsidRPr="00416C36">
        <w:rPr>
          <w:b/>
          <w:bCs/>
        </w:rPr>
        <w:t>unten</w:t>
      </w:r>
      <w:r w:rsidRPr="00416C36">
        <w:rPr>
          <w:b/>
          <w:bCs/>
        </w:rPr>
        <w:t>:</w:t>
      </w:r>
      <w:r w:rsidRPr="00416C36">
        <w:t xml:space="preserve"> Bei der summierten Binomialverteilung wurde die Grenze α=10% eingezeichnet, die deutlich den Ablehnungsbereich von 0 bis 63 festlegt.</w:t>
      </w:r>
    </w:p>
    <w:p w:rsidR="00434CFA" w:rsidRPr="00416C36" w:rsidRDefault="00434CFA" w:rsidP="00AD07FA">
      <w:pPr>
        <w:numPr>
          <w:ilvl w:val="1"/>
          <w:numId w:val="25"/>
        </w:numPr>
        <w:spacing w:before="100" w:beforeAutospacing="1" w:after="100" w:afterAutospacing="1" w:line="240" w:lineRule="auto"/>
      </w:pPr>
      <w:r w:rsidRPr="00416C36">
        <w:rPr>
          <w:b/>
          <w:bCs/>
        </w:rPr>
        <w:t>Methode 2: Lösung mit der Näherungsformel von de Moivre-Laplace</w:t>
      </w:r>
      <w:r w:rsidRPr="00416C36">
        <w:br/>
      </w:r>
      <w:r w:rsidRPr="00416C36">
        <w:br/>
      </w:r>
      <w:r w:rsidR="00641D5F">
        <w:pict>
          <v:shape id="_x0000_i1027" type="#_x0000_t75" style="width:256.5pt;height:177.75pt">
            <v:imagedata r:id="rId13" o:title="tvh01"/>
          </v:shape>
        </w:pict>
      </w:r>
      <w:r w:rsidR="00953382" w:rsidRPr="00416C36">
        <w:br/>
      </w:r>
      <w:r w:rsidR="00953382" w:rsidRPr="00416C36">
        <w:br/>
      </w:r>
      <w:r w:rsidRPr="00416C36">
        <w:t>Man berechnet die Grenze c</w:t>
      </w:r>
      <w:r w:rsidRPr="00416C36">
        <w:rPr>
          <w:vertAlign w:val="subscript"/>
        </w:rPr>
        <w:t>links</w:t>
      </w:r>
      <w:r w:rsidRPr="00416C36">
        <w:t xml:space="preserve"> = µ - 1,28*σ = 64,13, diese trennt den Ablehnungsbereich und den Annahmebereich.</w:t>
      </w:r>
      <w:r w:rsidRPr="00416C36">
        <w:br/>
        <w:t xml:space="preserve">MatheGrafix liefert mit dieser Methode den etwas größeren Ablehnungsbereich {0,1,...,64}. </w:t>
      </w:r>
      <w:r w:rsidRPr="00416C36">
        <w:br/>
        <w:t xml:space="preserve">Der genaue Wert für α ist hier 11,61%. </w:t>
      </w:r>
      <w:r w:rsidRPr="00416C36">
        <w:br/>
      </w:r>
      <w:r w:rsidRPr="00416C36">
        <w:br/>
      </w:r>
      <w:r w:rsidRPr="00416C36">
        <w:rPr>
          <w:b/>
          <w:bCs/>
        </w:rPr>
        <w:t>Bild:</w:t>
      </w:r>
      <w:r w:rsidRPr="00416C36">
        <w:t xml:space="preserve"> Bei dieser Methode trennt die Senkrechte bei c</w:t>
      </w:r>
      <w:r w:rsidRPr="00416C36">
        <w:rPr>
          <w:vertAlign w:val="subscript"/>
        </w:rPr>
        <w:t>links</w:t>
      </w:r>
      <w:r w:rsidRPr="00416C36">
        <w:t xml:space="preserve"> den Ablehnungsbereich und den Annahmebereich. Die Darstellung mit Rechtecken oder Quadern eignet sich hier nicht, da die Trennung so nicht sichtbar wird. Daher wird die Binomialverteilung als Stabdiagramm dargestellt. </w:t>
      </w:r>
    </w:p>
    <w:p w:rsidR="00434CFA" w:rsidRPr="00416C36" w:rsidRDefault="00434CFA" w:rsidP="0060546C">
      <w:pPr>
        <w:spacing w:after="0"/>
      </w:pPr>
      <w:r w:rsidRPr="00416C36">
        <w:rPr>
          <w:b/>
          <w:bCs/>
        </w:rPr>
        <w:t>Ergebnis: Da 62 bei beiden Methoden im Ablehnungsbereich liegt, wird H</w:t>
      </w:r>
      <w:r w:rsidRPr="00416C36">
        <w:rPr>
          <w:b/>
          <w:bCs/>
          <w:vertAlign w:val="subscript"/>
        </w:rPr>
        <w:t>0</w:t>
      </w:r>
      <w:r w:rsidRPr="00416C36">
        <w:rPr>
          <w:b/>
          <w:bCs/>
        </w:rPr>
        <w:t xml:space="preserve"> verworfen. Mit einer Irrtumswahrscheinlichkeit von höchstens 10% lässt sich ein Widerspruch zur Behauptung des Vertreters herleiten.</w:t>
      </w:r>
      <w:r w:rsidRPr="00416C36">
        <w:t xml:space="preserve"> </w:t>
      </w:r>
      <w:r w:rsidRPr="00416C36">
        <w:br w:type="page"/>
      </w:r>
    </w:p>
    <w:p w:rsidR="00434CFA" w:rsidRPr="00416C36" w:rsidRDefault="00434CFA" w:rsidP="00434CFA">
      <w:pPr>
        <w:spacing w:after="0"/>
      </w:pPr>
      <w:r w:rsidRPr="00416C36">
        <w:rPr>
          <w:b/>
          <w:bCs/>
        </w:rPr>
        <w:lastRenderedPageBreak/>
        <w:t>b. Lösung: Bestimmung des Fehlers 2. Art mit den Tabellen der Binomialverteilung und mit der Näherungsformel von de Moivre-Laplace:</w:t>
      </w:r>
      <w:r w:rsidRPr="00416C36">
        <w:t xml:space="preserve"> </w:t>
      </w:r>
    </w:p>
    <w:p w:rsidR="00434CFA" w:rsidRPr="00416C36" w:rsidRDefault="00434CFA" w:rsidP="00434CFA">
      <w:pPr>
        <w:numPr>
          <w:ilvl w:val="0"/>
          <w:numId w:val="26"/>
        </w:numPr>
        <w:spacing w:before="100" w:beforeAutospacing="1" w:after="100" w:afterAutospacing="1" w:line="240" w:lineRule="auto"/>
      </w:pPr>
      <w:r w:rsidRPr="00416C36">
        <w:t>Stichprobenumfang: n = 100</w:t>
      </w:r>
    </w:p>
    <w:p w:rsidR="00434CFA" w:rsidRPr="00416C36" w:rsidRDefault="00434CFA" w:rsidP="00434CFA">
      <w:pPr>
        <w:numPr>
          <w:ilvl w:val="0"/>
          <w:numId w:val="26"/>
        </w:numPr>
        <w:spacing w:before="100" w:beforeAutospacing="1" w:after="100" w:afterAutospacing="1" w:line="240" w:lineRule="auto"/>
      </w:pPr>
      <w:r w:rsidRPr="00416C36">
        <w:t>Ein Treffer bedeutet: Das Schuhgeschäft führt die Marke des Vertreters.</w:t>
      </w:r>
    </w:p>
    <w:p w:rsidR="00434CFA" w:rsidRPr="00416C36" w:rsidRDefault="00434CFA" w:rsidP="00434CFA">
      <w:pPr>
        <w:numPr>
          <w:ilvl w:val="0"/>
          <w:numId w:val="26"/>
        </w:numPr>
        <w:spacing w:before="100" w:beforeAutospacing="1" w:after="100" w:afterAutospacing="1" w:line="240" w:lineRule="auto"/>
      </w:pPr>
      <w:r w:rsidRPr="00416C36">
        <w:t>Zufallsgröße X': Anzahl der Treffer</w:t>
      </w:r>
    </w:p>
    <w:p w:rsidR="00EE16B0" w:rsidRPr="00416C36" w:rsidRDefault="00EE16B0" w:rsidP="00EE16B0">
      <w:pPr>
        <w:numPr>
          <w:ilvl w:val="0"/>
          <w:numId w:val="26"/>
        </w:numPr>
        <w:spacing w:before="100" w:beforeAutospacing="1" w:after="100" w:afterAutospacing="1" w:line="240" w:lineRule="auto"/>
      </w:pPr>
      <w:r w:rsidRPr="00416C36">
        <w:t>Die tatsächliche Trefferwahrscheinlichkeit beträgt p' = 0,6.</w:t>
      </w:r>
    </w:p>
    <w:p w:rsidR="00434CFA" w:rsidRPr="00416C36" w:rsidRDefault="00434CFA" w:rsidP="00434CFA">
      <w:pPr>
        <w:numPr>
          <w:ilvl w:val="0"/>
          <w:numId w:val="26"/>
        </w:numPr>
        <w:spacing w:before="100" w:beforeAutospacing="1" w:after="100" w:afterAutospacing="1" w:line="240" w:lineRule="auto"/>
      </w:pPr>
      <w:r w:rsidRPr="00416C36">
        <w:t xml:space="preserve">X' ist </w:t>
      </w:r>
      <w:r w:rsidR="00EE16B0" w:rsidRPr="00416C36">
        <w:t xml:space="preserve">dann </w:t>
      </w:r>
      <w:r w:rsidRPr="00416C36">
        <w:t>B</w:t>
      </w:r>
      <w:r w:rsidRPr="00416C36">
        <w:rPr>
          <w:vertAlign w:val="subscript"/>
        </w:rPr>
        <w:t>100;0,6</w:t>
      </w:r>
      <w:r w:rsidRPr="00416C36">
        <w:t>-verteilt.</w:t>
      </w:r>
    </w:p>
    <w:p w:rsidR="00434CFA" w:rsidRPr="00416C36" w:rsidRDefault="00434CFA" w:rsidP="00AD07FA">
      <w:pPr>
        <w:numPr>
          <w:ilvl w:val="0"/>
          <w:numId w:val="26"/>
        </w:numPr>
        <w:spacing w:before="100" w:beforeAutospacing="1" w:after="240" w:line="240" w:lineRule="auto"/>
      </w:pPr>
      <w:r w:rsidRPr="00416C36">
        <w:rPr>
          <w:b/>
          <w:bCs/>
        </w:rPr>
        <w:t>Bestimmung des Fehlers 2. Art:</w:t>
      </w:r>
      <w:r w:rsidRPr="00416C36">
        <w:t xml:space="preserve"> </w:t>
      </w:r>
      <w:r w:rsidRPr="00416C36">
        <w:br/>
      </w:r>
      <w:r w:rsidRPr="00416C36">
        <w:br/>
      </w:r>
      <w:r w:rsidR="00641D5F">
        <w:pict>
          <v:shape id="_x0000_i1028" type="#_x0000_t75" style="width:408.75pt;height:282.75pt">
            <v:imagedata r:id="rId14" o:title="tvh04"/>
          </v:shape>
        </w:pict>
      </w:r>
      <w:r w:rsidR="002159C7" w:rsidRPr="00416C36">
        <w:br/>
      </w:r>
      <w:r w:rsidR="002159C7" w:rsidRPr="00416C36">
        <w:br/>
      </w:r>
      <w:r w:rsidRPr="00416C36">
        <w:rPr>
          <w:b/>
          <w:bCs/>
        </w:rPr>
        <w:t>Bild</w:t>
      </w:r>
      <w:r w:rsidRPr="00416C36">
        <w:t xml:space="preserve"> </w:t>
      </w:r>
      <w:r w:rsidRPr="00416C36">
        <w:br/>
        <w:t xml:space="preserve">Auch diese Darstellung wird von MatheGrafix automatisch generiert. MatheGrafix berechnet ebenfalls den Fehler 2. Art nach der gewünschten Methode (mit Hilfe der Tabelle der Binomialverteilung oder mit Hilfe der Näherungsmethode). </w:t>
      </w:r>
      <w:r w:rsidRPr="00416C36">
        <w:br/>
        <w:t xml:space="preserve">Die alternative Verteilung zu p=0,6 wird kariert dargestellt und über die ursprüngliche Verteilung gelegt. </w:t>
      </w:r>
      <w:r w:rsidRPr="00416C36">
        <w:br/>
        <w:t>Der für den Fehler 2. Art zu berechnende Bereich ist gelb kariert und entspricht dem Annahmebereich der ursprünglichen Verteilung mit p=0,7.</w:t>
      </w:r>
    </w:p>
    <w:p w:rsidR="00434CFA" w:rsidRPr="00416C36" w:rsidRDefault="00434CFA" w:rsidP="00434CFA">
      <w:pPr>
        <w:numPr>
          <w:ilvl w:val="1"/>
          <w:numId w:val="26"/>
        </w:numPr>
        <w:spacing w:before="100" w:beforeAutospacing="1" w:after="100" w:afterAutospacing="1" w:line="240" w:lineRule="auto"/>
      </w:pPr>
      <w:r w:rsidRPr="00416C36">
        <w:rPr>
          <w:b/>
          <w:bCs/>
        </w:rPr>
        <w:t>Methode 1: Lösung mit den Tabellen der Binomialverteilung</w:t>
      </w:r>
      <w:r w:rsidRPr="00416C36">
        <w:br/>
        <w:t xml:space="preserve">Mit p' = 0,6 gilt für den Fehler 2. Art: β = P(X' </w:t>
      </w:r>
      <w:r w:rsidRPr="00416C36">
        <w:rPr>
          <w:rFonts w:ascii="Cambria Math" w:hAnsi="Cambria Math" w:cs="Cambria Math"/>
        </w:rPr>
        <w:t>∊</w:t>
      </w:r>
      <w:r w:rsidRPr="00416C36">
        <w:t xml:space="preserve"> Annahmebereich) = P(X' </w:t>
      </w:r>
      <w:r w:rsidRPr="00416C36">
        <w:rPr>
          <w:rFonts w:cs="Calibri"/>
        </w:rPr>
        <w:t>≥</w:t>
      </w:r>
      <w:r w:rsidRPr="00416C36">
        <w:t xml:space="preserve"> 64) = 23,86%.</w:t>
      </w:r>
    </w:p>
    <w:p w:rsidR="00434CFA" w:rsidRPr="00416C36" w:rsidRDefault="00434CFA" w:rsidP="00434CFA">
      <w:pPr>
        <w:numPr>
          <w:ilvl w:val="1"/>
          <w:numId w:val="26"/>
        </w:numPr>
        <w:spacing w:before="100" w:beforeAutospacing="1" w:after="100" w:afterAutospacing="1" w:line="240" w:lineRule="auto"/>
      </w:pPr>
      <w:r w:rsidRPr="00416C36">
        <w:rPr>
          <w:b/>
          <w:bCs/>
        </w:rPr>
        <w:t>Methode 2: Lösung mit der Näherungsformel von de Moivre-Laplace</w:t>
      </w:r>
      <w:r w:rsidRPr="00416C36">
        <w:br/>
        <w:t xml:space="preserve">Mit p' = 0,6 gilt für den Fehler 2. Art: β = P(X' </w:t>
      </w:r>
      <w:r w:rsidRPr="00416C36">
        <w:rPr>
          <w:rFonts w:ascii="Cambria Math" w:hAnsi="Cambria Math" w:cs="Cambria Math"/>
        </w:rPr>
        <w:t>∊</w:t>
      </w:r>
      <w:r w:rsidRPr="00416C36">
        <w:t xml:space="preserve"> Annahmebereich) = P(X' </w:t>
      </w:r>
      <w:r w:rsidRPr="00416C36">
        <w:rPr>
          <w:rFonts w:cs="Calibri"/>
        </w:rPr>
        <w:t>≥</w:t>
      </w:r>
      <w:r w:rsidRPr="00416C36">
        <w:t xml:space="preserve"> 65) = 17,88% (Anzeige von "binomial" auf "N</w:t>
      </w:r>
      <w:r w:rsidRPr="00416C36">
        <w:rPr>
          <w:rFonts w:cs="Calibri"/>
        </w:rPr>
        <w:t>ä</w:t>
      </w:r>
      <w:r w:rsidRPr="00416C36">
        <w:t xml:space="preserve">herung" umgestellt!). </w:t>
      </w:r>
    </w:p>
    <w:p w:rsidR="00434CFA" w:rsidRPr="00416C36" w:rsidRDefault="00434CFA" w:rsidP="00AD07FA">
      <w:pPr>
        <w:spacing w:after="0"/>
        <w:rPr>
          <w:rFonts w:eastAsia="Times New Roman" w:cs="Times New Roman"/>
          <w:b/>
          <w:bCs/>
          <w:sz w:val="36"/>
          <w:szCs w:val="36"/>
          <w:lang w:eastAsia="de-DE"/>
        </w:rPr>
      </w:pPr>
      <w:r w:rsidRPr="00416C36">
        <w:rPr>
          <w:b/>
          <w:bCs/>
        </w:rPr>
        <w:t>Ergebnis: Der Fehler zweiter Art beträgt β ≈ 24% nach dem Verfahren mit den Tabellen der Binomialverteilung, β ≈ 18% mit dem Näherungsverfahren. Die Behauptung des Vertreters wird mit einer Wahrscheinlichkeit von etwa 24% (18%) fälschlicherweise angenommen.</w:t>
      </w:r>
      <w:r w:rsidRPr="00416C36">
        <w:rPr>
          <w:rFonts w:eastAsia="Times New Roman" w:cs="Times New Roman"/>
          <w:b/>
          <w:bCs/>
          <w:sz w:val="36"/>
          <w:szCs w:val="36"/>
          <w:lang w:eastAsia="de-DE"/>
        </w:rPr>
        <w:br w:type="page"/>
      </w:r>
    </w:p>
    <w:p w:rsidR="00434CFA" w:rsidRPr="00416C36" w:rsidRDefault="00434CFA" w:rsidP="00434CFA">
      <w:pPr>
        <w:pStyle w:val="berschrift2"/>
        <w:rPr>
          <w:rFonts w:asciiTheme="minorHAnsi" w:hAnsiTheme="minorHAnsi"/>
        </w:rPr>
      </w:pPr>
      <w:r w:rsidRPr="00416C36">
        <w:rPr>
          <w:rFonts w:asciiTheme="minorHAnsi" w:hAnsiTheme="minorHAnsi"/>
        </w:rPr>
        <w:lastRenderedPageBreak/>
        <w:t>Testen: Rechtsseitiger Test</w:t>
      </w:r>
    </w:p>
    <w:p w:rsidR="00434CFA" w:rsidRPr="00416C36" w:rsidRDefault="00434CFA" w:rsidP="00434CFA">
      <w:r w:rsidRPr="00416C36">
        <w:t xml:space="preserve">Testen von Hypothesen: Der Ablehnungsbereich eines rechtsseitigen Tests wird nach Vorgabe des Signifikanzniveaus berechnet. </w:t>
      </w:r>
      <w:r w:rsidRPr="00416C36">
        <w:br/>
      </w:r>
    </w:p>
    <w:p w:rsidR="00434CFA" w:rsidRPr="00416C36" w:rsidRDefault="00434CFA" w:rsidP="00434CFA">
      <w:pPr>
        <w:pStyle w:val="berschrift4"/>
        <w:rPr>
          <w:rFonts w:asciiTheme="minorHAnsi" w:hAnsiTheme="minorHAnsi"/>
        </w:rPr>
      </w:pPr>
      <w:r w:rsidRPr="00416C36">
        <w:rPr>
          <w:rFonts w:asciiTheme="minorHAnsi" w:hAnsiTheme="minorHAnsi"/>
        </w:rPr>
        <w:t>Aufgabe: Rechtsseitiger Test, Berechnung des Ablehnungsbereichs</w:t>
      </w:r>
    </w:p>
    <w:p w:rsidR="00434CFA" w:rsidRPr="00416C36" w:rsidRDefault="00434CFA" w:rsidP="00434CFA">
      <w:pPr>
        <w:spacing w:after="240"/>
      </w:pPr>
      <w:r w:rsidRPr="00416C36">
        <w:t xml:space="preserve">Von den in einem Betrieb gefertigten Glühlampen haben 25% eine Brenndauer von weniger als 6000 Stunden. Durch ein neuartiges Herstellungsverfahren soll die Qualität verbessert werden. Aus der neuen Fertigung werden 100 Glühlampen entnommen. Wie viele davon müssen mindestens mehr als 6000 Stunden brennen, damit man das neue Verfahren mit einer Irrtumswahrscheinlichkeit von höchstens 5 % als besser bezeichnen kann? </w:t>
      </w:r>
    </w:p>
    <w:p w:rsidR="00434CFA" w:rsidRPr="00416C36" w:rsidRDefault="00434CFA" w:rsidP="00434CFA">
      <w:pPr>
        <w:pStyle w:val="berschrift5"/>
        <w:rPr>
          <w:rFonts w:asciiTheme="minorHAnsi" w:hAnsiTheme="minorHAnsi"/>
        </w:rPr>
      </w:pPr>
      <w:r w:rsidRPr="00416C36">
        <w:rPr>
          <w:rFonts w:asciiTheme="minorHAnsi" w:hAnsiTheme="minorHAnsi"/>
        </w:rPr>
        <w:t>Lösung</w:t>
      </w:r>
    </w:p>
    <w:p w:rsidR="00434CFA" w:rsidRPr="00416C36" w:rsidRDefault="00434CFA" w:rsidP="00434CFA">
      <w:r w:rsidRPr="00416C36">
        <w:rPr>
          <w:b/>
          <w:bCs/>
        </w:rPr>
        <w:t>Bestimmung des Ablehnungsbereichs mit den Tabellen der Binomialverteilung und mit der Näherungsformel von de Moivre-Laplace:</w:t>
      </w:r>
      <w:r w:rsidRPr="00416C36">
        <w:t xml:space="preserve"> </w:t>
      </w:r>
    </w:p>
    <w:p w:rsidR="00434CFA" w:rsidRPr="00416C36" w:rsidRDefault="00434CFA" w:rsidP="00434CFA">
      <w:pPr>
        <w:numPr>
          <w:ilvl w:val="0"/>
          <w:numId w:val="27"/>
        </w:numPr>
        <w:spacing w:before="100" w:beforeAutospacing="1" w:after="100" w:afterAutospacing="1" w:line="240" w:lineRule="auto"/>
      </w:pPr>
      <w:r w:rsidRPr="00416C36">
        <w:t>Stichprobenumfang: n = 100</w:t>
      </w:r>
    </w:p>
    <w:p w:rsidR="00434CFA" w:rsidRPr="00416C36" w:rsidRDefault="00434CFA" w:rsidP="00434CFA">
      <w:pPr>
        <w:numPr>
          <w:ilvl w:val="0"/>
          <w:numId w:val="27"/>
        </w:numPr>
        <w:spacing w:before="100" w:beforeAutospacing="1" w:after="100" w:afterAutospacing="1" w:line="240" w:lineRule="auto"/>
      </w:pPr>
      <w:r w:rsidRPr="00416C36">
        <w:t>Treffer bedeutet: Die Glühlampe brennt mindestens 6000 Stunden.</w:t>
      </w:r>
    </w:p>
    <w:p w:rsidR="00434CFA" w:rsidRPr="00416C36" w:rsidRDefault="00434CFA" w:rsidP="00434CFA">
      <w:pPr>
        <w:numPr>
          <w:ilvl w:val="0"/>
          <w:numId w:val="27"/>
        </w:numPr>
        <w:spacing w:before="100" w:beforeAutospacing="1" w:after="100" w:afterAutospacing="1" w:line="240" w:lineRule="auto"/>
      </w:pPr>
      <w:r w:rsidRPr="00416C36">
        <w:t>Zufallsgröße X: Anzahl der Treffer bzw. Anzahl der Glühlampen, die mindestens 6000 Stunden brennen.</w:t>
      </w:r>
    </w:p>
    <w:p w:rsidR="00434CFA" w:rsidRPr="00416C36" w:rsidRDefault="00434CFA" w:rsidP="00434CFA">
      <w:pPr>
        <w:numPr>
          <w:ilvl w:val="0"/>
          <w:numId w:val="27"/>
        </w:numPr>
        <w:spacing w:before="100" w:beforeAutospacing="1" w:after="100" w:afterAutospacing="1" w:line="240" w:lineRule="auto"/>
      </w:pPr>
      <w:r w:rsidRPr="00416C36">
        <w:t>X ist bei wahrer Nullhypothese B</w:t>
      </w:r>
      <w:r w:rsidRPr="00416C36">
        <w:rPr>
          <w:vertAlign w:val="subscript"/>
        </w:rPr>
        <w:t>100;0,75</w:t>
      </w:r>
      <w:r w:rsidRPr="00416C36">
        <w:t>-verteilt.</w:t>
      </w:r>
    </w:p>
    <w:p w:rsidR="00434CFA" w:rsidRPr="00416C36" w:rsidRDefault="00434CFA" w:rsidP="00434CFA">
      <w:pPr>
        <w:numPr>
          <w:ilvl w:val="0"/>
          <w:numId w:val="27"/>
        </w:numPr>
        <w:spacing w:before="100" w:beforeAutospacing="1" w:after="100" w:afterAutospacing="1" w:line="240" w:lineRule="auto"/>
      </w:pPr>
      <w:r w:rsidRPr="00416C36">
        <w:t>Die Hypothesen lauten: H</w:t>
      </w:r>
      <w:r w:rsidRPr="00416C36">
        <w:rPr>
          <w:vertAlign w:val="subscript"/>
        </w:rPr>
        <w:t>0</w:t>
      </w:r>
      <w:r w:rsidRPr="00416C36">
        <w:t>:p ≤ 0,75 (die Qualität sei geblieben) und H</w:t>
      </w:r>
      <w:r w:rsidRPr="00416C36">
        <w:rPr>
          <w:vertAlign w:val="subscript"/>
        </w:rPr>
        <w:t>1</w:t>
      </w:r>
      <w:r w:rsidRPr="00416C36">
        <w:t>:p &gt; 0,75.</w:t>
      </w:r>
      <w:r w:rsidRPr="00416C36">
        <w:br/>
        <w:t>Da große Werte von X gegen H</w:t>
      </w:r>
      <w:r w:rsidRPr="00416C36">
        <w:rPr>
          <w:vertAlign w:val="subscript"/>
        </w:rPr>
        <w:t>0</w:t>
      </w:r>
      <w:r w:rsidRPr="00416C36">
        <w:t xml:space="preserve"> sprechen, handelt es sich um einen rechtsseitigen Test.</w:t>
      </w:r>
    </w:p>
    <w:p w:rsidR="00434CFA" w:rsidRPr="00416C36" w:rsidRDefault="00434CFA" w:rsidP="00434CFA">
      <w:pPr>
        <w:numPr>
          <w:ilvl w:val="0"/>
          <w:numId w:val="27"/>
        </w:numPr>
        <w:spacing w:before="100" w:beforeAutospacing="1" w:after="240" w:line="240" w:lineRule="auto"/>
      </w:pPr>
      <w:r w:rsidRPr="00416C36">
        <w:t>Vorgegebenes Signifikanzniveau: α = 5%</w:t>
      </w:r>
    </w:p>
    <w:p w:rsidR="00434CFA" w:rsidRPr="00416C36" w:rsidRDefault="00434CFA" w:rsidP="00434CFA">
      <w:pPr>
        <w:numPr>
          <w:ilvl w:val="0"/>
          <w:numId w:val="27"/>
        </w:numPr>
        <w:spacing w:before="100" w:beforeAutospacing="1" w:after="240" w:line="240" w:lineRule="auto"/>
      </w:pPr>
      <w:r w:rsidRPr="00416C36">
        <w:rPr>
          <w:b/>
          <w:bCs/>
        </w:rPr>
        <w:t>Bestimmung des Ablehnungsbereichs:</w:t>
      </w:r>
      <w:r w:rsidRPr="00416C36">
        <w:t xml:space="preserve"> </w:t>
      </w:r>
    </w:p>
    <w:p w:rsidR="00434CFA" w:rsidRPr="00416C36" w:rsidRDefault="00434CFA" w:rsidP="00AD07FA">
      <w:pPr>
        <w:numPr>
          <w:ilvl w:val="1"/>
          <w:numId w:val="27"/>
        </w:numPr>
        <w:spacing w:before="100" w:beforeAutospacing="1" w:after="240" w:line="240" w:lineRule="auto"/>
      </w:pPr>
      <w:r w:rsidRPr="00416C36">
        <w:rPr>
          <w:b/>
          <w:bCs/>
        </w:rPr>
        <w:t>Methode 1: Lösung mit den Tabellen der Binomialverteilung</w:t>
      </w:r>
      <w:r w:rsidRPr="00416C36">
        <w:br/>
      </w:r>
      <w:r w:rsidRPr="00416C36">
        <w:br/>
      </w:r>
      <w:r w:rsidR="0001121E">
        <w:rPr>
          <w:noProof/>
          <w:lang w:eastAsia="de-DE"/>
        </w:rPr>
        <w:pict>
          <v:shape id="_x0000_i1029" type="#_x0000_t75" style="width:255pt;height:176.25pt">
            <v:imagedata r:id="rId15" o:title="tvh02a"/>
          </v:shape>
        </w:pict>
      </w:r>
      <w:r w:rsidR="00B51D16" w:rsidRPr="00416C36">
        <w:rPr>
          <w:noProof/>
          <w:lang w:eastAsia="de-DE"/>
        </w:rPr>
        <w:lastRenderedPageBreak/>
        <w:drawing>
          <wp:inline distT="0" distB="0" distL="0" distR="0" wp14:anchorId="6303E43B" wp14:editId="275799F4">
            <wp:extent cx="3247755" cy="2247900"/>
            <wp:effectExtent l="0" t="0" r="0" b="0"/>
            <wp:docPr id="17" name="Grafik 17" descr="C:\Users\Admin\Dropbox\CSSWebsite11\tutorial\img\tvh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ropbox\CSSWebsite11\tutorial\img\tvh03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1698" cy="2250629"/>
                    </a:xfrm>
                    <a:prstGeom prst="rect">
                      <a:avLst/>
                    </a:prstGeom>
                    <a:noFill/>
                    <a:ln>
                      <a:noFill/>
                    </a:ln>
                  </pic:spPr>
                </pic:pic>
              </a:graphicData>
            </a:graphic>
          </wp:inline>
        </w:drawing>
      </w:r>
      <w:r w:rsidRPr="00416C36">
        <w:br/>
      </w:r>
      <w:r w:rsidR="002159C7" w:rsidRPr="00416C36">
        <w:br/>
      </w:r>
      <w:r w:rsidRPr="00416C36">
        <w:t>Gesucht ist die kleinste Trefferzahl k mit P(X≥k) = 1-P(X≤k-1) ≤ 5% = α.</w:t>
      </w:r>
      <w:r w:rsidRPr="00416C36">
        <w:br/>
        <w:t xml:space="preserve">MatheGrafix liefert den Ablehnungsbereich {83,84,85, ... ,100}. </w:t>
      </w:r>
      <w:r w:rsidRPr="00416C36">
        <w:br/>
        <w:t>Der genau</w:t>
      </w:r>
      <w:r w:rsidR="00B14B24" w:rsidRPr="00416C36">
        <w:t>e</w:t>
      </w:r>
      <w:r w:rsidRPr="00416C36">
        <w:t xml:space="preserve"> Wert für α ist bei dieser Methode 3,76%.</w:t>
      </w:r>
      <w:r w:rsidRPr="00416C36">
        <w:br/>
      </w:r>
      <w:r w:rsidRPr="00416C36">
        <w:rPr>
          <w:b/>
          <w:bCs/>
        </w:rPr>
        <w:t xml:space="preserve">Bild </w:t>
      </w:r>
      <w:r w:rsidR="00B51D16" w:rsidRPr="00416C36">
        <w:rPr>
          <w:b/>
          <w:bCs/>
        </w:rPr>
        <w:t>oben</w:t>
      </w:r>
      <w:r w:rsidRPr="00416C36">
        <w:rPr>
          <w:b/>
          <w:bCs/>
        </w:rPr>
        <w:t>:</w:t>
      </w:r>
      <w:r w:rsidRPr="00416C36">
        <w:t xml:space="preserve"> Diese Darstellung wird von MatheGrafix automatisch generiert. MatheGrafix berechnet den Ablehnungsbereich von 83 bis 100.</w:t>
      </w:r>
      <w:r w:rsidRPr="00416C36">
        <w:br/>
      </w:r>
      <w:r w:rsidRPr="00416C36">
        <w:rPr>
          <w:b/>
          <w:bCs/>
        </w:rPr>
        <w:t xml:space="preserve">Bild </w:t>
      </w:r>
      <w:r w:rsidR="00B51D16" w:rsidRPr="00416C36">
        <w:rPr>
          <w:b/>
          <w:bCs/>
        </w:rPr>
        <w:t>unten</w:t>
      </w:r>
      <w:r w:rsidRPr="00416C36">
        <w:rPr>
          <w:b/>
          <w:bCs/>
        </w:rPr>
        <w:t>:</w:t>
      </w:r>
      <w:r w:rsidRPr="00416C36">
        <w:t xml:space="preserve"> Bei der summierten Binomialverteilung wurde die Grenze p = 0,95 = 1-α eingezeichnet.</w:t>
      </w:r>
      <w:r w:rsidRPr="00416C36">
        <w:br/>
        <w:t>Warum trennt nun diese Grenze nicht die Bereiche auf dem Bild?</w:t>
      </w:r>
      <w:r w:rsidRPr="00416C36">
        <w:br/>
        <w:t>P(Annahmebereich) darf dabei nicht unter dieser Grenze liegen, da sonst P(Ablehnungsbereich) &gt; 5% wird.</w:t>
      </w:r>
      <w:r w:rsidRPr="00416C36">
        <w:br/>
        <w:t xml:space="preserve">In Formeln: Aus P(X≥k) = 1-P(X≤k-1) ≤ 5% folgt ja P(X≤k-1) ≥ 0,95: </w:t>
      </w:r>
      <w:r w:rsidRPr="00416C36">
        <w:rPr>
          <w:b/>
          <w:bCs/>
        </w:rPr>
        <w:t>Auf dem Bild sieht man P(X≤82) ≥ 0,95, also ist k-1=82 und damit k=83.</w:t>
      </w:r>
    </w:p>
    <w:p w:rsidR="00434CFA" w:rsidRPr="00416C36" w:rsidRDefault="00434CFA" w:rsidP="00845192">
      <w:pPr>
        <w:numPr>
          <w:ilvl w:val="1"/>
          <w:numId w:val="27"/>
        </w:numPr>
        <w:spacing w:before="100" w:beforeAutospacing="1" w:after="100" w:afterAutospacing="1" w:line="240" w:lineRule="auto"/>
      </w:pPr>
      <w:r w:rsidRPr="00416C36">
        <w:rPr>
          <w:b/>
          <w:bCs/>
        </w:rPr>
        <w:t>Methode 2: Lösung mit der Näherungsformel von de Moivre-Laplace</w:t>
      </w:r>
      <w:r w:rsidRPr="00416C36">
        <w:br/>
      </w:r>
      <w:r w:rsidRPr="00416C36">
        <w:br/>
      </w:r>
      <w:r w:rsidR="0001121E">
        <w:pict>
          <v:shape id="_x0000_i1030" type="#_x0000_t75" style="width:247.5pt;height:171pt">
            <v:imagedata r:id="rId17" o:title="tvh01a"/>
          </v:shape>
        </w:pict>
      </w:r>
      <w:r w:rsidR="002159C7" w:rsidRPr="00416C36">
        <w:br/>
      </w:r>
      <w:r w:rsidR="002159C7" w:rsidRPr="00416C36">
        <w:br/>
      </w:r>
      <w:r w:rsidRPr="00416C36">
        <w:t>Man berechnet die Grenze c</w:t>
      </w:r>
      <w:r w:rsidRPr="00416C36">
        <w:rPr>
          <w:vertAlign w:val="subscript"/>
        </w:rPr>
        <w:t>rechts</w:t>
      </w:r>
      <w:r w:rsidRPr="00416C36">
        <w:t xml:space="preserve"> = µ + 1,64*σ = 82,12, diese trennt den Ablehnungsbereich und den Annahmebereich.</w:t>
      </w:r>
      <w:r w:rsidRPr="00416C36">
        <w:br/>
        <w:t xml:space="preserve">MatheGrafix liefert mit dieser Methode ebenfalls den Ablehnungsbereich {83,84,85, ... ,100}. </w:t>
      </w:r>
      <w:r w:rsidRPr="00416C36">
        <w:br/>
      </w:r>
      <w:r w:rsidRPr="00416C36">
        <w:rPr>
          <w:b/>
          <w:bCs/>
        </w:rPr>
        <w:t>Bild:</w:t>
      </w:r>
      <w:r w:rsidRPr="00416C36">
        <w:t xml:space="preserve"> Bei dieser Methode trennt die Senkrechte bei c</w:t>
      </w:r>
      <w:r w:rsidRPr="00416C36">
        <w:rPr>
          <w:vertAlign w:val="subscript"/>
        </w:rPr>
        <w:t>rechts</w:t>
      </w:r>
      <w:r w:rsidRPr="00416C36">
        <w:t xml:space="preserve"> den Ablehnungsbereich und den Annahmebereich. Die Darstellung mit Rechtecken oder Quadern eignet sich hier nicht, daher wird die Binomialverteilung als Stabdiagramm dargestellt. </w:t>
      </w:r>
    </w:p>
    <w:p w:rsidR="00B14B24" w:rsidRPr="00416C36" w:rsidRDefault="00434CFA" w:rsidP="00B336D7">
      <w:pPr>
        <w:spacing w:after="0"/>
        <w:rPr>
          <w:b/>
          <w:bCs/>
        </w:rPr>
      </w:pPr>
      <w:r w:rsidRPr="00416C36">
        <w:rPr>
          <w:b/>
          <w:bCs/>
        </w:rPr>
        <w:t>Ergebnis: Brennen mehr als 82 Lampen länger als 6000 Stunden, kann das neuartige Herstellungsverfahren mit einer Irrtumswahrscheinlichkeit von 5% als besser bezeichnet werden.</w:t>
      </w:r>
      <w:r w:rsidR="00B14B24" w:rsidRPr="00416C36">
        <w:rPr>
          <w:b/>
          <w:bCs/>
        </w:rPr>
        <w:br w:type="page"/>
      </w:r>
    </w:p>
    <w:p w:rsidR="00B14B24" w:rsidRPr="00416C36" w:rsidRDefault="00B14B24" w:rsidP="00B14B24">
      <w:pPr>
        <w:pStyle w:val="berschrift2"/>
        <w:rPr>
          <w:rFonts w:asciiTheme="minorHAnsi" w:hAnsiTheme="minorHAnsi"/>
        </w:rPr>
      </w:pPr>
      <w:r w:rsidRPr="00416C36">
        <w:rPr>
          <w:rFonts w:asciiTheme="minorHAnsi" w:hAnsiTheme="minorHAnsi"/>
        </w:rPr>
        <w:lastRenderedPageBreak/>
        <w:t>Testen: Beidseitiger Test</w:t>
      </w:r>
    </w:p>
    <w:p w:rsidR="00B14B24" w:rsidRPr="00416C36" w:rsidRDefault="00B14B24" w:rsidP="00B14B24">
      <w:r w:rsidRPr="00416C36">
        <w:t xml:space="preserve">Testen von Hypothesen: Der Ablehnungsbereich eines beidseitigen Tests wird nach Vorgabe des Signifikanzniveaus berechnet. </w:t>
      </w:r>
    </w:p>
    <w:p w:rsidR="00B14B24" w:rsidRPr="00416C36" w:rsidRDefault="00B14B24" w:rsidP="00B14B24">
      <w:pPr>
        <w:pStyle w:val="berschrift4"/>
        <w:rPr>
          <w:rFonts w:asciiTheme="minorHAnsi" w:hAnsiTheme="minorHAnsi"/>
        </w:rPr>
      </w:pPr>
      <w:r w:rsidRPr="00416C36">
        <w:rPr>
          <w:rFonts w:asciiTheme="minorHAnsi" w:hAnsiTheme="minorHAnsi"/>
        </w:rPr>
        <w:t>Aufgabe: Beidseitiger Test, Berechnung des Ablehnungsbereichs</w:t>
      </w:r>
    </w:p>
    <w:p w:rsidR="00B14B24" w:rsidRPr="00416C36" w:rsidRDefault="00B14B24" w:rsidP="00B14B24">
      <w:pPr>
        <w:spacing w:after="240"/>
      </w:pPr>
      <w:r w:rsidRPr="00416C36">
        <w:t xml:space="preserve">Beim Münzwurf geht man davon aus, dass beide Ereignisse Wappen und Zahl gleichwahrscheinlich sind mit der Trefferwahrscheinlichkeit p = 0,5 für Wappen. Zur Überprüfung soll eine Münze nun 33-mal geworfen werden, wobei das Signifikanzniveau auf 5% festgelegt wird. </w:t>
      </w:r>
    </w:p>
    <w:p w:rsidR="00B14B24" w:rsidRPr="00416C36" w:rsidRDefault="00B14B24" w:rsidP="00B14B24">
      <w:pPr>
        <w:pStyle w:val="berschrift5"/>
        <w:rPr>
          <w:rFonts w:asciiTheme="minorHAnsi" w:hAnsiTheme="minorHAnsi"/>
        </w:rPr>
      </w:pPr>
      <w:r w:rsidRPr="00416C36">
        <w:rPr>
          <w:rFonts w:asciiTheme="minorHAnsi" w:hAnsiTheme="minorHAnsi"/>
        </w:rPr>
        <w:t>Lösung</w:t>
      </w:r>
    </w:p>
    <w:p w:rsidR="00B14B24" w:rsidRPr="00416C36" w:rsidRDefault="00B14B24" w:rsidP="00B14B24">
      <w:r w:rsidRPr="00416C36">
        <w:rPr>
          <w:b/>
          <w:bCs/>
        </w:rPr>
        <w:t>Bestimmung des Ablehnungsbereichs mit den Tabellen der Binomialverteilung und mit der Näherungsformel von de Moivre-Laplace:</w:t>
      </w:r>
      <w:r w:rsidRPr="00416C36">
        <w:t xml:space="preserve"> </w:t>
      </w:r>
    </w:p>
    <w:p w:rsidR="00B14B24" w:rsidRPr="00416C36" w:rsidRDefault="00B14B24" w:rsidP="00B14B24">
      <w:pPr>
        <w:numPr>
          <w:ilvl w:val="0"/>
          <w:numId w:val="28"/>
        </w:numPr>
        <w:spacing w:before="100" w:beforeAutospacing="1" w:after="100" w:afterAutospacing="1" w:line="240" w:lineRule="auto"/>
      </w:pPr>
      <w:r w:rsidRPr="00416C36">
        <w:t>Stichprobenumfang: n = 33</w:t>
      </w:r>
    </w:p>
    <w:p w:rsidR="00B14B24" w:rsidRPr="00416C36" w:rsidRDefault="00B14B24" w:rsidP="00B14B24">
      <w:pPr>
        <w:numPr>
          <w:ilvl w:val="0"/>
          <w:numId w:val="28"/>
        </w:numPr>
        <w:spacing w:before="100" w:beforeAutospacing="1" w:after="100" w:afterAutospacing="1" w:line="240" w:lineRule="auto"/>
      </w:pPr>
      <w:r w:rsidRPr="00416C36">
        <w:t>Treffer bedeutet: Wappen liegt oben.</w:t>
      </w:r>
    </w:p>
    <w:p w:rsidR="00B14B24" w:rsidRPr="00416C36" w:rsidRDefault="00B14B24" w:rsidP="00B14B24">
      <w:pPr>
        <w:numPr>
          <w:ilvl w:val="0"/>
          <w:numId w:val="28"/>
        </w:numPr>
        <w:spacing w:before="100" w:beforeAutospacing="1" w:after="100" w:afterAutospacing="1" w:line="240" w:lineRule="auto"/>
      </w:pPr>
      <w:r w:rsidRPr="00416C36">
        <w:t>Zufallsgröße X: Anzahl der Treffer</w:t>
      </w:r>
    </w:p>
    <w:p w:rsidR="00B14B24" w:rsidRPr="00416C36" w:rsidRDefault="00B14B24" w:rsidP="00B14B24">
      <w:pPr>
        <w:numPr>
          <w:ilvl w:val="0"/>
          <w:numId w:val="28"/>
        </w:numPr>
        <w:spacing w:before="100" w:beforeAutospacing="1" w:after="100" w:afterAutospacing="1" w:line="240" w:lineRule="auto"/>
      </w:pPr>
      <w:r w:rsidRPr="00416C36">
        <w:t>X ist bei wahrer Nullhypothese B</w:t>
      </w:r>
      <w:r w:rsidRPr="00416C36">
        <w:rPr>
          <w:vertAlign w:val="subscript"/>
        </w:rPr>
        <w:t>33;0,5</w:t>
      </w:r>
      <w:r w:rsidRPr="00416C36">
        <w:t>-verteilt.</w:t>
      </w:r>
    </w:p>
    <w:p w:rsidR="00B14B24" w:rsidRPr="00416C36" w:rsidRDefault="00B14B24" w:rsidP="00B14B24">
      <w:pPr>
        <w:numPr>
          <w:ilvl w:val="0"/>
          <w:numId w:val="28"/>
        </w:numPr>
        <w:spacing w:before="100" w:beforeAutospacing="1" w:after="100" w:afterAutospacing="1" w:line="240" w:lineRule="auto"/>
      </w:pPr>
      <w:r w:rsidRPr="00416C36">
        <w:t>Die Hypothesen lauten: H</w:t>
      </w:r>
      <w:r w:rsidRPr="00416C36">
        <w:rPr>
          <w:vertAlign w:val="subscript"/>
        </w:rPr>
        <w:t>0</w:t>
      </w:r>
      <w:r w:rsidRPr="00416C36">
        <w:t>:p = 0,5 (Die Münze sei ideal) und H</w:t>
      </w:r>
      <w:r w:rsidRPr="00416C36">
        <w:rPr>
          <w:vertAlign w:val="subscript"/>
        </w:rPr>
        <w:t>1</w:t>
      </w:r>
      <w:r w:rsidRPr="00416C36">
        <w:t xml:space="preserve">:p ≠ 0,5. </w:t>
      </w:r>
      <w:r w:rsidRPr="00416C36">
        <w:br/>
        <w:t>Da große Werte und kleine Werte von X gegen H</w:t>
      </w:r>
      <w:r w:rsidRPr="00416C36">
        <w:rPr>
          <w:vertAlign w:val="subscript"/>
        </w:rPr>
        <w:t>0</w:t>
      </w:r>
      <w:r w:rsidRPr="00416C36">
        <w:t xml:space="preserve"> sprechen, handelt es sich um einen beidseitigen Test.</w:t>
      </w:r>
    </w:p>
    <w:p w:rsidR="005F5889" w:rsidRPr="00416C36" w:rsidRDefault="00B14B24" w:rsidP="001A2E83">
      <w:pPr>
        <w:numPr>
          <w:ilvl w:val="0"/>
          <w:numId w:val="28"/>
        </w:numPr>
        <w:spacing w:before="100" w:beforeAutospacing="1" w:after="240" w:line="240" w:lineRule="auto"/>
      </w:pPr>
      <w:r w:rsidRPr="00416C36">
        <w:t>Vorgegebenes Signifikanzniveau: α = 5%</w:t>
      </w:r>
    </w:p>
    <w:p w:rsidR="00B14B24" w:rsidRPr="00416C36" w:rsidRDefault="00B14B24" w:rsidP="001A2E83">
      <w:pPr>
        <w:numPr>
          <w:ilvl w:val="0"/>
          <w:numId w:val="28"/>
        </w:numPr>
        <w:spacing w:before="100" w:beforeAutospacing="1" w:after="240" w:line="240" w:lineRule="auto"/>
      </w:pPr>
      <w:r w:rsidRPr="00416C36">
        <w:rPr>
          <w:b/>
          <w:bCs/>
        </w:rPr>
        <w:t>Bestimmung des Ablehnungsbereichs:</w:t>
      </w:r>
      <w:r w:rsidRPr="00416C36">
        <w:t xml:space="preserve"> </w:t>
      </w:r>
    </w:p>
    <w:p w:rsidR="00B14B24" w:rsidRPr="00416C36" w:rsidRDefault="00B14B24" w:rsidP="005F5889">
      <w:pPr>
        <w:numPr>
          <w:ilvl w:val="1"/>
          <w:numId w:val="28"/>
        </w:numPr>
        <w:spacing w:before="100" w:beforeAutospacing="1" w:after="240" w:line="240" w:lineRule="auto"/>
      </w:pPr>
      <w:r w:rsidRPr="00416C36">
        <w:rPr>
          <w:b/>
          <w:bCs/>
        </w:rPr>
        <w:t>Methode 1: Lösung mit den Tabellen der Binomialverteilung</w:t>
      </w:r>
      <w:r w:rsidRPr="00416C36">
        <w:br/>
      </w:r>
      <w:r w:rsidRPr="00416C36">
        <w:br/>
      </w:r>
      <w:r w:rsidR="0001121E">
        <w:pict>
          <v:shape id="_x0000_i1031" type="#_x0000_t75" style="width:220.5pt;height:152.25pt">
            <v:imagedata r:id="rId18" o:title="tvh02b"/>
          </v:shape>
        </w:pict>
      </w:r>
      <w:r w:rsidR="005F5889" w:rsidRPr="00416C36">
        <w:br/>
      </w:r>
      <w:r w:rsidR="005F5889" w:rsidRPr="00416C36">
        <w:br/>
      </w:r>
      <w:r w:rsidR="0001121E">
        <w:pict>
          <v:shape id="_x0000_i1032" type="#_x0000_t75" style="width:220.5pt;height:152.25pt">
            <v:imagedata r:id="rId19" o:title="tvh03b"/>
          </v:shape>
        </w:pict>
      </w:r>
      <w:r w:rsidRPr="00416C36">
        <w:br/>
      </w:r>
      <w:r w:rsidR="00B336D7" w:rsidRPr="00416C36">
        <w:lastRenderedPageBreak/>
        <w:br/>
      </w:r>
      <w:r w:rsidRPr="00416C36">
        <w:t>Gesucht ist die kleinste Trefferzahl k mit P(X≥k) = 1-P(X≤k-1) ≤ 2,5% = α/2 und</w:t>
      </w:r>
      <w:r w:rsidRPr="00416C36">
        <w:br/>
        <w:t>die größte Trefferzahl k mit P(X ≤ k) ≤ 2,5%% = α/2.</w:t>
      </w:r>
      <w:r w:rsidRPr="00416C36">
        <w:br/>
        <w:t xml:space="preserve">MatheGrafix liefert den Ablehnungsbereich {0,...,10} </w:t>
      </w:r>
      <w:r w:rsidRPr="00416C36">
        <w:rPr>
          <w:rFonts w:ascii="Cambria Math" w:hAnsi="Cambria Math" w:cs="Cambria Math"/>
        </w:rPr>
        <w:t>∪</w:t>
      </w:r>
      <w:r w:rsidRPr="00416C36">
        <w:t xml:space="preserve"> {23,...,33}. </w:t>
      </w:r>
      <w:r w:rsidRPr="00416C36">
        <w:br/>
        <w:t>Der genau</w:t>
      </w:r>
      <w:r w:rsidR="00AF1502" w:rsidRPr="00416C36">
        <w:t>e</w:t>
      </w:r>
      <w:r w:rsidRPr="00416C36">
        <w:t xml:space="preserve"> Wert f</w:t>
      </w:r>
      <w:r w:rsidRPr="00416C36">
        <w:rPr>
          <w:rFonts w:cs="Calibri"/>
        </w:rPr>
        <w:t>ü</w:t>
      </w:r>
      <w:r w:rsidRPr="00416C36">
        <w:t xml:space="preserve">r </w:t>
      </w:r>
      <w:r w:rsidRPr="00416C36">
        <w:rPr>
          <w:rFonts w:cs="Calibri"/>
        </w:rPr>
        <w:t>α</w:t>
      </w:r>
      <w:r w:rsidRPr="00416C36">
        <w:t xml:space="preserve"> ist bei dieser Methode 3,50%.</w:t>
      </w:r>
      <w:r w:rsidRPr="00416C36">
        <w:br/>
      </w:r>
      <w:r w:rsidRPr="00416C36">
        <w:br/>
      </w:r>
      <w:r w:rsidRPr="00416C36">
        <w:rPr>
          <w:b/>
          <w:bCs/>
        </w:rPr>
        <w:t xml:space="preserve">Bild </w:t>
      </w:r>
      <w:r w:rsidR="008456C1" w:rsidRPr="00416C36">
        <w:rPr>
          <w:b/>
          <w:bCs/>
        </w:rPr>
        <w:t>oben</w:t>
      </w:r>
      <w:r w:rsidRPr="00416C36">
        <w:rPr>
          <w:b/>
          <w:bCs/>
        </w:rPr>
        <w:t>:</w:t>
      </w:r>
      <w:r w:rsidRPr="00416C36">
        <w:t xml:space="preserve"> Diese Darstellung wird von MatheGrafix automatisch generiert. MatheGrafix berechnet den Ablehnungsbereich {0,...,10} </w:t>
      </w:r>
      <w:r w:rsidRPr="00416C36">
        <w:rPr>
          <w:rFonts w:ascii="Cambria Math" w:hAnsi="Cambria Math" w:cs="Cambria Math"/>
        </w:rPr>
        <w:t>∪</w:t>
      </w:r>
      <w:r w:rsidRPr="00416C36">
        <w:t xml:space="preserve"> {23,...,33}.</w:t>
      </w:r>
      <w:r w:rsidRPr="00416C36">
        <w:br/>
      </w:r>
      <w:r w:rsidRPr="00416C36">
        <w:rPr>
          <w:b/>
          <w:bCs/>
        </w:rPr>
        <w:t xml:space="preserve">Bild </w:t>
      </w:r>
      <w:r w:rsidR="008456C1" w:rsidRPr="00416C36">
        <w:rPr>
          <w:b/>
          <w:bCs/>
        </w:rPr>
        <w:t>unten</w:t>
      </w:r>
      <w:r w:rsidRPr="00416C36">
        <w:rPr>
          <w:b/>
          <w:bCs/>
        </w:rPr>
        <w:t>:</w:t>
      </w:r>
      <w:r w:rsidRPr="00416C36">
        <w:t xml:space="preserve"> Bei der summierten Binomialverteilung wurden zwei Grenzen eingezeichnet:</w:t>
      </w:r>
      <w:r w:rsidRPr="00416C36">
        <w:br/>
        <w:t>- die untere Grenze α=2,5% trennt den unteren Ablehnungsbereich vom Annahmebereich.</w:t>
      </w:r>
      <w:r w:rsidRPr="00416C36">
        <w:br/>
        <w:t>- die obere Grenze 1-α=97,5% liefert wegen P(X≤k-1) ≥ 0,975 den Wert k-1=22, damit k=23 als untere Grenze für den oberen Ablehnungsbereich.</w:t>
      </w:r>
      <w:r w:rsidRPr="00416C36">
        <w:br/>
      </w:r>
    </w:p>
    <w:p w:rsidR="00B14B24" w:rsidRPr="00416C36" w:rsidRDefault="00B14B24" w:rsidP="005F5889">
      <w:pPr>
        <w:numPr>
          <w:ilvl w:val="1"/>
          <w:numId w:val="28"/>
        </w:numPr>
        <w:spacing w:before="100" w:beforeAutospacing="1" w:after="100" w:afterAutospacing="1" w:line="240" w:lineRule="auto"/>
      </w:pPr>
      <w:r w:rsidRPr="00416C36">
        <w:rPr>
          <w:b/>
          <w:bCs/>
        </w:rPr>
        <w:t>Methode 2: Lösung mit der Näherungsformel von de Moivre-Laplace</w:t>
      </w:r>
      <w:r w:rsidRPr="00416C36">
        <w:br/>
      </w:r>
      <w:r w:rsidRPr="00416C36">
        <w:br/>
      </w:r>
      <w:r w:rsidR="0001121E">
        <w:pict>
          <v:shape id="_x0000_i1033" type="#_x0000_t75" style="width:367.5pt;height:255pt">
            <v:imagedata r:id="rId20" o:title="tvh01b"/>
          </v:shape>
        </w:pict>
      </w:r>
      <w:r w:rsidR="002159C7" w:rsidRPr="00416C36">
        <w:br/>
      </w:r>
      <w:r w:rsidR="002159C7" w:rsidRPr="00416C36">
        <w:br/>
      </w:r>
      <w:r w:rsidRPr="00416C36">
        <w:t>Man berechnet die Grenzen c</w:t>
      </w:r>
      <w:r w:rsidRPr="00416C36">
        <w:rPr>
          <w:vertAlign w:val="subscript"/>
        </w:rPr>
        <w:t>links</w:t>
      </w:r>
      <w:r w:rsidRPr="00416C36">
        <w:t xml:space="preserve"> = µ - 1,96*σ = 10,87 und c</w:t>
      </w:r>
      <w:r w:rsidRPr="00416C36">
        <w:rPr>
          <w:vertAlign w:val="subscript"/>
        </w:rPr>
        <w:t>rechts</w:t>
      </w:r>
      <w:r w:rsidRPr="00416C36">
        <w:t xml:space="preserve"> = µ + 1,96*σ = 22,13, diese trennen den Ablehnungsbereich vom Annahmebereich.</w:t>
      </w:r>
      <w:r w:rsidRPr="00416C36">
        <w:br/>
        <w:t xml:space="preserve">MatheGrafix liefert mit dieser Methode ebenfalls den Ablehnungsbereich {0,...,10} </w:t>
      </w:r>
      <w:r w:rsidRPr="00416C36">
        <w:rPr>
          <w:rFonts w:ascii="Cambria Math" w:hAnsi="Cambria Math" w:cs="Cambria Math"/>
        </w:rPr>
        <w:t>∪</w:t>
      </w:r>
      <w:r w:rsidRPr="00416C36">
        <w:t xml:space="preserve"> {23,...,36}. </w:t>
      </w:r>
      <w:r w:rsidRPr="00416C36">
        <w:br/>
      </w:r>
      <w:r w:rsidRPr="00416C36">
        <w:br/>
      </w:r>
      <w:r w:rsidRPr="00416C36">
        <w:rPr>
          <w:b/>
          <w:bCs/>
        </w:rPr>
        <w:t>Bild:</w:t>
      </w:r>
      <w:r w:rsidRPr="00416C36">
        <w:t xml:space="preserve"> Bei dieser Methode trennen die Senkrechten bei c</w:t>
      </w:r>
      <w:r w:rsidRPr="00416C36">
        <w:rPr>
          <w:vertAlign w:val="subscript"/>
        </w:rPr>
        <w:t>links</w:t>
      </w:r>
      <w:r w:rsidRPr="00416C36">
        <w:t xml:space="preserve"> und c</w:t>
      </w:r>
      <w:r w:rsidRPr="00416C36">
        <w:rPr>
          <w:vertAlign w:val="subscript"/>
        </w:rPr>
        <w:t>rechts</w:t>
      </w:r>
      <w:r w:rsidRPr="00416C36">
        <w:t xml:space="preserve"> den Ablehnungsbereich vom Annahmebereich. Die Darstellung mit Rechtecken oder Quadern eignet sich hier nicht, da die Trennung so nicht sichtbar wird. Daher wird die Binomialverteilung als Stabdiagramm dargestellt. </w:t>
      </w:r>
    </w:p>
    <w:p w:rsidR="002159C7" w:rsidRPr="00416C36" w:rsidRDefault="00B14B24" w:rsidP="0060546C">
      <w:pPr>
        <w:spacing w:after="0"/>
        <w:rPr>
          <w:b/>
          <w:bCs/>
        </w:rPr>
      </w:pPr>
      <w:r w:rsidRPr="00416C36">
        <w:rPr>
          <w:b/>
          <w:bCs/>
        </w:rPr>
        <w:t>Ergebnis: Der Ablehnungsbereich von H</w:t>
      </w:r>
      <w:r w:rsidRPr="00416C36">
        <w:rPr>
          <w:b/>
          <w:bCs/>
          <w:vertAlign w:val="subscript"/>
        </w:rPr>
        <w:t>0</w:t>
      </w:r>
      <w:r w:rsidRPr="00416C36">
        <w:rPr>
          <w:b/>
          <w:bCs/>
        </w:rPr>
        <w:t xml:space="preserve"> ist {0,...,10} </w:t>
      </w:r>
      <w:r w:rsidRPr="00416C36">
        <w:rPr>
          <w:rFonts w:ascii="Cambria Math" w:hAnsi="Cambria Math" w:cs="Cambria Math"/>
          <w:b/>
          <w:bCs/>
        </w:rPr>
        <w:t>∪</w:t>
      </w:r>
      <w:r w:rsidRPr="00416C36">
        <w:rPr>
          <w:b/>
          <w:bCs/>
        </w:rPr>
        <w:t xml:space="preserve"> {23,...,36}. F</w:t>
      </w:r>
      <w:r w:rsidR="00AF1502" w:rsidRPr="00416C36">
        <w:rPr>
          <w:rFonts w:cs="Calibri"/>
          <w:b/>
          <w:bCs/>
        </w:rPr>
        <w:t>allen</w:t>
      </w:r>
      <w:r w:rsidRPr="00416C36">
        <w:rPr>
          <w:b/>
          <w:bCs/>
        </w:rPr>
        <w:t xml:space="preserve"> bei 33 W</w:t>
      </w:r>
      <w:r w:rsidRPr="00416C36">
        <w:rPr>
          <w:rFonts w:cs="Calibri"/>
          <w:b/>
          <w:bCs/>
        </w:rPr>
        <w:t>ü</w:t>
      </w:r>
      <w:r w:rsidRPr="00416C36">
        <w:rPr>
          <w:b/>
          <w:bCs/>
        </w:rPr>
        <w:t>rfen weniger als 11 oder mehr als 22-mal Wappen, kann mit einer Irrtumswahrscheinlichkeit von 5% abgelehnt werden, dass die Münze ideal ist.</w:t>
      </w:r>
      <w:r w:rsidR="002159C7" w:rsidRPr="00416C36">
        <w:rPr>
          <w:b/>
          <w:bCs/>
        </w:rPr>
        <w:br w:type="page"/>
      </w:r>
    </w:p>
    <w:p w:rsidR="002159C7" w:rsidRPr="00416C36" w:rsidRDefault="002159C7" w:rsidP="002159C7">
      <w:pPr>
        <w:pStyle w:val="berschrift2"/>
        <w:rPr>
          <w:rFonts w:asciiTheme="minorHAnsi" w:hAnsiTheme="minorHAnsi"/>
        </w:rPr>
      </w:pPr>
      <w:r w:rsidRPr="00416C36">
        <w:rPr>
          <w:rFonts w:asciiTheme="minorHAnsi" w:hAnsiTheme="minorHAnsi"/>
        </w:rPr>
        <w:lastRenderedPageBreak/>
        <w:t>Testen: Vorgegebener Ablehnungsbereich</w:t>
      </w:r>
    </w:p>
    <w:p w:rsidR="002159C7" w:rsidRPr="00416C36" w:rsidRDefault="002159C7" w:rsidP="002159C7">
      <w:r w:rsidRPr="00416C36">
        <w:t xml:space="preserve">Testen von Hypothesen: Der Ablehnungsbereich eines rechtsseitigen Tests ist vorgegeben, das Signifikanzniveaus wird berechnet. </w:t>
      </w:r>
    </w:p>
    <w:p w:rsidR="001C6732" w:rsidRPr="00416C36" w:rsidRDefault="001C6732" w:rsidP="002159C7"/>
    <w:p w:rsidR="001C6732" w:rsidRPr="00416C36" w:rsidRDefault="001C6732" w:rsidP="002159C7"/>
    <w:p w:rsidR="001C6732" w:rsidRPr="00416C36" w:rsidRDefault="001C6732" w:rsidP="001C6732">
      <w:pPr>
        <w:pStyle w:val="berschrift4"/>
        <w:rPr>
          <w:rFonts w:asciiTheme="minorHAnsi" w:hAnsiTheme="minorHAnsi"/>
          <w:b w:val="0"/>
        </w:rPr>
      </w:pPr>
      <w:r w:rsidRPr="00416C36">
        <w:rPr>
          <w:rFonts w:asciiTheme="minorHAnsi" w:hAnsiTheme="minorHAnsi"/>
          <w:b w:val="0"/>
          <w:noProof/>
        </w:rPr>
        <w:drawing>
          <wp:anchor distT="0" distB="0" distL="114300" distR="114300" simplePos="0" relativeHeight="251658240" behindDoc="1" locked="0" layoutInCell="1" allowOverlap="1" wp14:anchorId="66B9FC68" wp14:editId="081508A9">
            <wp:simplePos x="0" y="0"/>
            <wp:positionH relativeFrom="column">
              <wp:posOffset>-4445</wp:posOffset>
            </wp:positionH>
            <wp:positionV relativeFrom="paragraph">
              <wp:posOffset>408940</wp:posOffset>
            </wp:positionV>
            <wp:extent cx="276225" cy="342900"/>
            <wp:effectExtent l="0" t="0" r="0" b="0"/>
            <wp:wrapTight wrapText="bothSides">
              <wp:wrapPolygon edited="0">
                <wp:start x="10428" y="0"/>
                <wp:lineTo x="0" y="8400"/>
                <wp:lineTo x="0" y="20400"/>
                <wp:lineTo x="17876" y="20400"/>
                <wp:lineTo x="17876" y="0"/>
                <wp:lineTo x="10428" y="0"/>
              </wp:wrapPolygon>
            </wp:wrapTight>
            <wp:docPr id="1"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C36">
        <w:rPr>
          <w:rFonts w:asciiTheme="minorHAnsi" w:hAnsiTheme="minorHAnsi"/>
        </w:rPr>
        <w:t>Alte Bauernregel zur Nullhypothese (aus der Mundart)</w:t>
      </w:r>
      <w:r w:rsidRPr="00416C36">
        <w:rPr>
          <w:rFonts w:asciiTheme="minorHAnsi" w:hAnsiTheme="minorHAnsi"/>
        </w:rPr>
        <w:br/>
      </w:r>
      <w:r w:rsidRPr="00416C36">
        <w:rPr>
          <w:rFonts w:asciiTheme="minorHAnsi" w:hAnsiTheme="minorHAnsi"/>
        </w:rPr>
        <w:br/>
      </w:r>
      <w:r w:rsidRPr="00416C36">
        <w:rPr>
          <w:rFonts w:asciiTheme="minorHAnsi" w:hAnsiTheme="minorHAnsi"/>
          <w:b w:val="0"/>
        </w:rPr>
        <w:t>"Wo ich den Ableh</w:t>
      </w:r>
      <w:r w:rsidR="005333A3" w:rsidRPr="00416C36">
        <w:rPr>
          <w:rFonts w:asciiTheme="minorHAnsi" w:hAnsiTheme="minorHAnsi"/>
          <w:b w:val="0"/>
        </w:rPr>
        <w:t>n</w:t>
      </w:r>
      <w:r w:rsidRPr="00416C36">
        <w:rPr>
          <w:rFonts w:asciiTheme="minorHAnsi" w:hAnsiTheme="minorHAnsi"/>
          <w:b w:val="0"/>
        </w:rPr>
        <w:t>ungsbereich fin',</w:t>
      </w:r>
      <w:r w:rsidRPr="00416C36">
        <w:rPr>
          <w:rFonts w:asciiTheme="minorHAnsi" w:hAnsiTheme="minorHAnsi"/>
          <w:b w:val="0"/>
        </w:rPr>
        <w:br/>
        <w:t>schaut ja auch mein Zeichen hin!"</w:t>
      </w:r>
      <w:r w:rsidRPr="00416C36">
        <w:rPr>
          <w:rFonts w:asciiTheme="minorHAnsi" w:hAnsiTheme="minorHAnsi"/>
          <w:b w:val="0"/>
        </w:rPr>
        <w:br/>
      </w:r>
      <w:r w:rsidRPr="00416C36">
        <w:rPr>
          <w:rFonts w:asciiTheme="minorHAnsi" w:hAnsiTheme="minorHAnsi"/>
        </w:rPr>
        <w:br/>
      </w:r>
      <w:r w:rsidRPr="00416C36">
        <w:rPr>
          <w:rFonts w:asciiTheme="minorHAnsi" w:hAnsiTheme="minorHAnsi"/>
          <w:bCs w:val="0"/>
        </w:rPr>
        <w:t>Zur Erläuterung</w:t>
      </w:r>
      <w:r w:rsidRPr="00416C36">
        <w:rPr>
          <w:rFonts w:asciiTheme="minorHAnsi" w:hAnsiTheme="minorHAnsi"/>
          <w:b w:val="0"/>
          <w:bCs w:val="0"/>
        </w:rPr>
        <w:t>:</w:t>
      </w:r>
      <w:r w:rsidRPr="00416C36">
        <w:rPr>
          <w:rFonts w:asciiTheme="minorHAnsi" w:hAnsiTheme="minorHAnsi"/>
        </w:rPr>
        <w:t xml:space="preserve"> </w:t>
      </w:r>
      <w:r w:rsidRPr="00416C36">
        <w:rPr>
          <w:rFonts w:asciiTheme="minorHAnsi" w:hAnsiTheme="minorHAnsi"/>
          <w:b w:val="0"/>
        </w:rPr>
        <w:t>In dieser Aufgabe ist der Ablehnungsbereich rechts, von den Zeichen ≥ und ≤ "schaut" nur das Zeichen ≤ nach rechts: Also hätte der Bauer die Nullhypothese H</w:t>
      </w:r>
      <w:r w:rsidRPr="00416C36">
        <w:rPr>
          <w:rFonts w:asciiTheme="minorHAnsi" w:hAnsiTheme="minorHAnsi"/>
          <w:b w:val="0"/>
          <w:vertAlign w:val="subscript"/>
        </w:rPr>
        <w:t>0</w:t>
      </w:r>
      <w:r w:rsidRPr="00416C36">
        <w:rPr>
          <w:rFonts w:asciiTheme="minorHAnsi" w:hAnsiTheme="minorHAnsi"/>
          <w:b w:val="0"/>
        </w:rPr>
        <w:t xml:space="preserve">:p ≤ 0,5 gewählt. </w:t>
      </w:r>
    </w:p>
    <w:p w:rsidR="001C6732" w:rsidRPr="00416C36" w:rsidRDefault="001C6732" w:rsidP="002159C7"/>
    <w:p w:rsidR="001C6732" w:rsidRPr="00416C36" w:rsidRDefault="001C6732" w:rsidP="002159C7"/>
    <w:p w:rsidR="001C6732" w:rsidRPr="00416C36" w:rsidRDefault="001C6732" w:rsidP="002159C7"/>
    <w:p w:rsidR="002159C7" w:rsidRPr="00416C36" w:rsidRDefault="002159C7" w:rsidP="002159C7">
      <w:pPr>
        <w:pStyle w:val="berschrift4"/>
        <w:rPr>
          <w:rFonts w:asciiTheme="minorHAnsi" w:hAnsiTheme="minorHAnsi"/>
        </w:rPr>
      </w:pPr>
      <w:r w:rsidRPr="00416C36">
        <w:rPr>
          <w:rFonts w:asciiTheme="minorHAnsi" w:hAnsiTheme="minorHAnsi"/>
        </w:rPr>
        <w:t>Aufgabe: Vorgegebener Ablehnungsbereich, Berechnung des Fehlers 1. Art</w:t>
      </w:r>
    </w:p>
    <w:p w:rsidR="002159C7" w:rsidRPr="00416C36" w:rsidRDefault="002159C7" w:rsidP="002159C7">
      <w:pPr>
        <w:spacing w:after="240"/>
      </w:pPr>
      <w:r w:rsidRPr="00416C36">
        <w:t xml:space="preserve">Bei einem Test werden 25 Fragen gestellt, die mit ja oder mit nein zu beantworten sind. Der Prüfer vermutet, dass sich ein Prüfling nur aufs Raten verlässt. Um seine Vermutung zu testen, greift er zu folgender Entscheidungsregel: Gibt der Prüfling mehr als 15 richtige Antworten, so geht der Prüfer von seiner Vermutung ab. Wie groß ist die Wahrscheinlichkeit, hierbei eine Fehlentscheidung zu treffen? </w:t>
      </w:r>
    </w:p>
    <w:p w:rsidR="002159C7" w:rsidRPr="00416C36" w:rsidRDefault="002159C7" w:rsidP="002159C7">
      <w:pPr>
        <w:pStyle w:val="berschrift5"/>
        <w:rPr>
          <w:rFonts w:asciiTheme="minorHAnsi" w:hAnsiTheme="minorHAnsi"/>
        </w:rPr>
      </w:pPr>
      <w:r w:rsidRPr="00416C36">
        <w:rPr>
          <w:rFonts w:asciiTheme="minorHAnsi" w:hAnsiTheme="minorHAnsi"/>
        </w:rPr>
        <w:t>Lösung</w:t>
      </w:r>
    </w:p>
    <w:p w:rsidR="002159C7" w:rsidRPr="00416C36" w:rsidRDefault="002159C7" w:rsidP="002159C7">
      <w:r w:rsidRPr="00416C36">
        <w:rPr>
          <w:b/>
          <w:bCs/>
        </w:rPr>
        <w:t>Bestimmung des Signifikanzniveaus mit den Tabellen der Binomialverteilung und mit der Näherungsformel von de Moivre-Laplace:</w:t>
      </w:r>
      <w:r w:rsidRPr="00416C36">
        <w:t xml:space="preserve"> </w:t>
      </w:r>
    </w:p>
    <w:p w:rsidR="002159C7" w:rsidRPr="00416C36" w:rsidRDefault="002159C7" w:rsidP="002159C7">
      <w:pPr>
        <w:numPr>
          <w:ilvl w:val="0"/>
          <w:numId w:val="29"/>
        </w:numPr>
        <w:spacing w:before="100" w:beforeAutospacing="1" w:after="100" w:afterAutospacing="1" w:line="240" w:lineRule="auto"/>
      </w:pPr>
      <w:r w:rsidRPr="00416C36">
        <w:t>Stichprobenumfang: n = 25</w:t>
      </w:r>
    </w:p>
    <w:p w:rsidR="002159C7" w:rsidRPr="00416C36" w:rsidRDefault="002159C7" w:rsidP="002159C7">
      <w:pPr>
        <w:numPr>
          <w:ilvl w:val="0"/>
          <w:numId w:val="29"/>
        </w:numPr>
        <w:spacing w:before="100" w:beforeAutospacing="1" w:after="100" w:afterAutospacing="1" w:line="240" w:lineRule="auto"/>
      </w:pPr>
      <w:r w:rsidRPr="00416C36">
        <w:t>Treffer bedeutet: Der Prüfling hat die Frage richtig beantwortet bzw. richtig geraten.</w:t>
      </w:r>
    </w:p>
    <w:p w:rsidR="002159C7" w:rsidRPr="00416C36" w:rsidRDefault="002159C7" w:rsidP="002159C7">
      <w:pPr>
        <w:numPr>
          <w:ilvl w:val="0"/>
          <w:numId w:val="29"/>
        </w:numPr>
        <w:spacing w:before="100" w:beforeAutospacing="1" w:after="100" w:afterAutospacing="1" w:line="240" w:lineRule="auto"/>
      </w:pPr>
      <w:r w:rsidRPr="00416C36">
        <w:t>Zufallsgröße X: Anzahl der Treffer bzw. der richtig beantworteten Fragen</w:t>
      </w:r>
    </w:p>
    <w:p w:rsidR="002159C7" w:rsidRPr="00416C36" w:rsidRDefault="002159C7" w:rsidP="002159C7">
      <w:pPr>
        <w:numPr>
          <w:ilvl w:val="0"/>
          <w:numId w:val="29"/>
        </w:numPr>
        <w:spacing w:before="100" w:beforeAutospacing="1" w:after="100" w:afterAutospacing="1" w:line="240" w:lineRule="auto"/>
      </w:pPr>
      <w:r w:rsidRPr="00416C36">
        <w:t>X ist bei wahrer Nullhypothese B</w:t>
      </w:r>
      <w:r w:rsidRPr="00416C36">
        <w:rPr>
          <w:vertAlign w:val="subscript"/>
        </w:rPr>
        <w:t>25;0,5</w:t>
      </w:r>
      <w:r w:rsidRPr="00416C36">
        <w:t>-verteilt.</w:t>
      </w:r>
    </w:p>
    <w:p w:rsidR="002159C7" w:rsidRPr="00416C36" w:rsidRDefault="002159C7" w:rsidP="002159C7">
      <w:pPr>
        <w:numPr>
          <w:ilvl w:val="0"/>
          <w:numId w:val="29"/>
        </w:numPr>
        <w:spacing w:before="100" w:beforeAutospacing="1" w:after="100" w:afterAutospacing="1" w:line="240" w:lineRule="auto"/>
      </w:pPr>
      <w:r w:rsidRPr="00416C36">
        <w:t>Die Hypothesen lauten: H</w:t>
      </w:r>
      <w:r w:rsidRPr="00416C36">
        <w:rPr>
          <w:vertAlign w:val="subscript"/>
        </w:rPr>
        <w:t>0</w:t>
      </w:r>
      <w:r w:rsidRPr="00416C36">
        <w:t>:p = 0,5 (Es wird nur geraten!) und H</w:t>
      </w:r>
      <w:r w:rsidRPr="00416C36">
        <w:rPr>
          <w:vertAlign w:val="subscript"/>
        </w:rPr>
        <w:t>1</w:t>
      </w:r>
      <w:r w:rsidRPr="00416C36">
        <w:t xml:space="preserve">:p &gt; 0,5. </w:t>
      </w:r>
      <w:r w:rsidRPr="00416C36">
        <w:br/>
        <w:t>Da große Werte von X gegen H</w:t>
      </w:r>
      <w:r w:rsidRPr="00416C36">
        <w:rPr>
          <w:vertAlign w:val="subscript"/>
        </w:rPr>
        <w:t>0</w:t>
      </w:r>
      <w:r w:rsidRPr="00416C36">
        <w:t xml:space="preserve"> sprechen, handelt es sich um einen rechtsseitigen Test. Kleine Werte von X sprechen in diesem Fall eher für H</w:t>
      </w:r>
      <w:r w:rsidRPr="00416C36">
        <w:rPr>
          <w:vertAlign w:val="subscript"/>
        </w:rPr>
        <w:t>0</w:t>
      </w:r>
      <w:r w:rsidRPr="00416C36">
        <w:t>, daher handelt es sich nicht um einen beidseitigen Test, man könnte daher auch H</w:t>
      </w:r>
      <w:r w:rsidRPr="00416C36">
        <w:rPr>
          <w:vertAlign w:val="subscript"/>
        </w:rPr>
        <w:t>0</w:t>
      </w:r>
      <w:r w:rsidRPr="00416C36">
        <w:t xml:space="preserve">:p ≤ 0,5 setzen. </w:t>
      </w:r>
    </w:p>
    <w:p w:rsidR="002159C7" w:rsidRPr="00416C36" w:rsidRDefault="002159C7" w:rsidP="002159C7">
      <w:pPr>
        <w:numPr>
          <w:ilvl w:val="0"/>
          <w:numId w:val="29"/>
        </w:numPr>
        <w:spacing w:before="100" w:beforeAutospacing="1" w:after="240" w:line="240" w:lineRule="auto"/>
      </w:pPr>
      <w:r w:rsidRPr="00416C36">
        <w:t>Der Ablehnungsbereich ist vorgegeben mit {16,17,18,...,25}.</w:t>
      </w:r>
    </w:p>
    <w:p w:rsidR="002159C7" w:rsidRPr="00416C36" w:rsidRDefault="002159C7" w:rsidP="002159C7">
      <w:pPr>
        <w:numPr>
          <w:ilvl w:val="0"/>
          <w:numId w:val="29"/>
        </w:numPr>
        <w:spacing w:before="100" w:beforeAutospacing="1" w:after="100" w:afterAutospacing="1" w:line="240" w:lineRule="auto"/>
      </w:pPr>
      <w:r w:rsidRPr="00416C36">
        <w:rPr>
          <w:b/>
          <w:bCs/>
        </w:rPr>
        <w:t>Bestimmung des Ablehnungsbereichs:</w:t>
      </w:r>
      <w:r w:rsidRPr="00416C36">
        <w:t xml:space="preserve"> </w:t>
      </w:r>
    </w:p>
    <w:p w:rsidR="002159C7" w:rsidRPr="00416C36" w:rsidRDefault="002159C7" w:rsidP="005F5889">
      <w:pPr>
        <w:numPr>
          <w:ilvl w:val="1"/>
          <w:numId w:val="29"/>
        </w:numPr>
        <w:spacing w:before="100" w:beforeAutospacing="1" w:after="240" w:line="240" w:lineRule="auto"/>
      </w:pPr>
      <w:r w:rsidRPr="00416C36">
        <w:rPr>
          <w:b/>
          <w:bCs/>
        </w:rPr>
        <w:t>Methode 1: Lösung mit den Tabellen der Binomialverteilung</w:t>
      </w:r>
      <w:r w:rsidRPr="00416C36">
        <w:br/>
      </w:r>
      <w:r w:rsidRPr="00416C36">
        <w:br/>
      </w:r>
      <w:r w:rsidR="0001121E">
        <w:lastRenderedPageBreak/>
        <w:pict>
          <v:shape id="_x0000_i1034" type="#_x0000_t75" style="width:342.75pt;height:237pt">
            <v:imagedata r:id="rId22" o:title="tvh02c"/>
          </v:shape>
        </w:pict>
      </w:r>
      <w:r w:rsidRPr="00416C36">
        <w:br/>
      </w:r>
      <w:r w:rsidRPr="00416C36">
        <w:br/>
        <w:t xml:space="preserve">Bestimmung der zugehörigen Irrtumswahrscheinlichkeit α: </w:t>
      </w:r>
      <w:r w:rsidRPr="00416C36">
        <w:br/>
        <w:t>Es gilt P(X≥16) = 1-P(X≤15) ≤ α.</w:t>
      </w:r>
      <w:r w:rsidRPr="00416C36">
        <w:br/>
        <w:t>MatheGrafix liefert den exakten Wert α = 11,48%.</w:t>
      </w:r>
      <w:r w:rsidRPr="00416C36">
        <w:br/>
      </w:r>
      <w:r w:rsidRPr="00416C36">
        <w:br/>
      </w:r>
      <w:r w:rsidRPr="00416C36">
        <w:rPr>
          <w:b/>
          <w:bCs/>
        </w:rPr>
        <w:t>Bild:</w:t>
      </w:r>
      <w:r w:rsidRPr="00416C36">
        <w:t xml:space="preserve"> Diese Darstellung erhält man unter dem Reiter "Binomial.", hierfür benötigt man nicht(!) das Modul "Testen".</w:t>
      </w:r>
      <w:r w:rsidRPr="00416C36">
        <w:br/>
        <w:t xml:space="preserve">Im Rechenmodul wählt man unter dem Reiter "Binomialverteilung" den Bereich X≥16 aus und liest die Wahrscheinlichkeit 11,48% ab. </w:t>
      </w:r>
      <w:r w:rsidRPr="00416C36">
        <w:br/>
        <w:t xml:space="preserve">Die Näherung erhält man ohne weitere Eingaben mit einem Wechsel auf den Reiter "Näherungsformel von de Moivre-Laplace" und liest hier die Wahrscheinlichkeit 11,51% ab. Da bei beiden Methoden der Ablehnungsbereich gleich bleibt, benötigt man zur Darstellung kein weiteres Bild. </w:t>
      </w:r>
    </w:p>
    <w:p w:rsidR="002159C7" w:rsidRPr="00416C36" w:rsidRDefault="002159C7" w:rsidP="005F5889">
      <w:pPr>
        <w:numPr>
          <w:ilvl w:val="1"/>
          <w:numId w:val="29"/>
        </w:numPr>
        <w:spacing w:before="100" w:beforeAutospacing="1" w:after="100" w:afterAutospacing="1" w:line="240" w:lineRule="auto"/>
      </w:pPr>
      <w:r w:rsidRPr="00416C36">
        <w:rPr>
          <w:b/>
          <w:bCs/>
        </w:rPr>
        <w:t>Methode 2: Lösung mit der Näherungsformel von de Moivre-Laplace</w:t>
      </w:r>
      <w:r w:rsidRPr="00416C36">
        <w:br/>
      </w:r>
      <w:r w:rsidRPr="00416C36">
        <w:br/>
      </w:r>
      <w:r w:rsidR="0001121E">
        <w:pict>
          <v:shape id="_x0000_i1035" type="#_x0000_t75" style="width:348.75pt;height:240.75pt;mso-position-vertical:absolute">
            <v:imagedata r:id="rId23" o:title="tvh01c"/>
          </v:shape>
        </w:pict>
      </w:r>
      <w:r w:rsidRPr="00416C36">
        <w:br/>
      </w:r>
      <w:r w:rsidRPr="00416C36">
        <w:br/>
      </w:r>
      <w:r w:rsidRPr="00416C36">
        <w:lastRenderedPageBreak/>
        <w:t>Man berechnet die summierte Wahrscheinlichkeit mit P(X≥16) = 1-P(X≤15) = 1-Φ(1,20) = 0,1151.</w:t>
      </w:r>
      <w:r w:rsidRPr="00416C36">
        <w:br/>
        <w:t xml:space="preserve">MatheGrafix liefert mit dieser Methode α = 11,51%. </w:t>
      </w:r>
      <w:r w:rsidRPr="00416C36">
        <w:br/>
      </w:r>
      <w:r w:rsidRPr="00416C36">
        <w:br/>
      </w:r>
      <w:r w:rsidRPr="00416C36">
        <w:rPr>
          <w:b/>
          <w:bCs/>
        </w:rPr>
        <w:t>Bild:</w:t>
      </w:r>
      <w:r w:rsidRPr="00416C36">
        <w:t xml:space="preserve"> Diese Darstellung erhält man unter dem Reiter "Näherungsformel von de Moivre-Laplace", indem man im Feld "Was wird gezeichnet?" ein Häkchen bei "Normalverteilung" und "standardisiert" setzt: Hier kann man den transformierten Wert z</w:t>
      </w:r>
      <w:r w:rsidRPr="00416C36">
        <w:rPr>
          <w:vertAlign w:val="subscript"/>
        </w:rPr>
        <w:t>rechts</w:t>
      </w:r>
      <w:r w:rsidRPr="00416C36">
        <w:t xml:space="preserve"> = 1,20 ablesen, der die Bereiche trennt und in der Rechnung 1-Φ(1,20) zu finden ist. </w:t>
      </w:r>
    </w:p>
    <w:p w:rsidR="002159C7" w:rsidRPr="00416C36" w:rsidRDefault="002159C7" w:rsidP="002159C7">
      <w:pPr>
        <w:spacing w:after="0"/>
      </w:pPr>
      <w:r w:rsidRPr="00416C36">
        <w:rPr>
          <w:b/>
          <w:bCs/>
        </w:rPr>
        <w:t>Ergebnis: Werden bei 25 Fragen mehr als 15 richtig beantwortet, kann H</w:t>
      </w:r>
      <w:r w:rsidRPr="00416C36">
        <w:rPr>
          <w:b/>
          <w:bCs/>
          <w:vertAlign w:val="subscript"/>
        </w:rPr>
        <w:t>0</w:t>
      </w:r>
      <w:r w:rsidRPr="00416C36">
        <w:rPr>
          <w:b/>
          <w:bCs/>
        </w:rPr>
        <w:t xml:space="preserve"> abgelehnt werden: Die Vermutung bzw. Hypothese wird also abgelehnt, dass die Antworten geraten sind! </w:t>
      </w:r>
      <w:r w:rsidRPr="00416C36">
        <w:rPr>
          <w:b/>
          <w:bCs/>
        </w:rPr>
        <w:br/>
        <w:t>Mit einer Wahrscheinlichkeit von etwa 11,48% (bzw. 11,51% mit Näherung) ist dabei eine Fehlentscheidung möglich.</w:t>
      </w:r>
    </w:p>
    <w:p w:rsidR="007C25A3" w:rsidRPr="00416C36" w:rsidRDefault="007C25A3" w:rsidP="00B14B24">
      <w:pPr>
        <w:spacing w:after="0"/>
        <w:rPr>
          <w:rFonts w:eastAsia="Times New Roman" w:cs="Times New Roman"/>
          <w:b/>
          <w:bCs/>
          <w:sz w:val="36"/>
          <w:szCs w:val="36"/>
          <w:lang w:eastAsia="de-DE"/>
        </w:rPr>
      </w:pPr>
    </w:p>
    <w:sectPr w:rsidR="007C25A3" w:rsidRPr="00416C36">
      <w:head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21E" w:rsidRDefault="0001121E" w:rsidP="004E2D31">
      <w:pPr>
        <w:spacing w:after="0" w:line="240" w:lineRule="auto"/>
      </w:pPr>
      <w:r>
        <w:separator/>
      </w:r>
    </w:p>
  </w:endnote>
  <w:endnote w:type="continuationSeparator" w:id="0">
    <w:p w:rsidR="0001121E" w:rsidRDefault="0001121E" w:rsidP="004E2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21E" w:rsidRDefault="0001121E" w:rsidP="004E2D31">
      <w:pPr>
        <w:spacing w:after="0" w:line="240" w:lineRule="auto"/>
      </w:pPr>
      <w:r>
        <w:separator/>
      </w:r>
    </w:p>
  </w:footnote>
  <w:footnote w:type="continuationSeparator" w:id="0">
    <w:p w:rsidR="0001121E" w:rsidRDefault="0001121E" w:rsidP="004E2D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57664"/>
      <w:docPartObj>
        <w:docPartGallery w:val="Page Numbers (Top of Page)"/>
        <w:docPartUnique/>
      </w:docPartObj>
    </w:sdtPr>
    <w:sdtEndPr/>
    <w:sdtContent>
      <w:p w:rsidR="004E2D31" w:rsidRDefault="004E2D31">
        <w:pPr>
          <w:pStyle w:val="Kopfzeile"/>
          <w:jc w:val="center"/>
        </w:pPr>
        <w:r>
          <w:fldChar w:fldCharType="begin"/>
        </w:r>
        <w:r>
          <w:instrText>PAGE   \* MERGEFORMAT</w:instrText>
        </w:r>
        <w:r>
          <w:fldChar w:fldCharType="separate"/>
        </w:r>
        <w:r w:rsidR="00641D5F">
          <w:rPr>
            <w:noProof/>
          </w:rPr>
          <w:t>1</w:t>
        </w:r>
        <w:r>
          <w:fldChar w:fldCharType="end"/>
        </w:r>
      </w:p>
    </w:sdtContent>
  </w:sdt>
  <w:p w:rsidR="004E2D31" w:rsidRDefault="004E2D3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3879"/>
    <w:multiLevelType w:val="multilevel"/>
    <w:tmpl w:val="73003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C1DA7"/>
    <w:multiLevelType w:val="multilevel"/>
    <w:tmpl w:val="70E8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661D4"/>
    <w:multiLevelType w:val="multilevel"/>
    <w:tmpl w:val="B59E2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FA31938"/>
    <w:multiLevelType w:val="multilevel"/>
    <w:tmpl w:val="3E6AD3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FD05DE0"/>
    <w:multiLevelType w:val="multilevel"/>
    <w:tmpl w:val="37C62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66D0AB3"/>
    <w:multiLevelType w:val="multilevel"/>
    <w:tmpl w:val="297CD8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6CC47FB"/>
    <w:multiLevelType w:val="multilevel"/>
    <w:tmpl w:val="6A4A19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665389E"/>
    <w:multiLevelType w:val="multilevel"/>
    <w:tmpl w:val="6A6AC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3F4D4C"/>
    <w:multiLevelType w:val="multilevel"/>
    <w:tmpl w:val="628870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28430D6"/>
    <w:multiLevelType w:val="multilevel"/>
    <w:tmpl w:val="574EC5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6A51B66"/>
    <w:multiLevelType w:val="multilevel"/>
    <w:tmpl w:val="B48CE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8D3482A"/>
    <w:multiLevelType w:val="multilevel"/>
    <w:tmpl w:val="5B82DC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A7A1A01"/>
    <w:multiLevelType w:val="multilevel"/>
    <w:tmpl w:val="9438B1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148325C"/>
    <w:multiLevelType w:val="hybridMultilevel"/>
    <w:tmpl w:val="0046B538"/>
    <w:lvl w:ilvl="0" w:tplc="82AA2C8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526225"/>
    <w:multiLevelType w:val="multilevel"/>
    <w:tmpl w:val="EF401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706063E"/>
    <w:multiLevelType w:val="multilevel"/>
    <w:tmpl w:val="6A9A0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82640D"/>
    <w:multiLevelType w:val="multilevel"/>
    <w:tmpl w:val="3AC61E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E8E6792"/>
    <w:multiLevelType w:val="multilevel"/>
    <w:tmpl w:val="2364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230A2"/>
    <w:multiLevelType w:val="multilevel"/>
    <w:tmpl w:val="F9469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5683232"/>
    <w:multiLevelType w:val="hybridMultilevel"/>
    <w:tmpl w:val="20C0AF72"/>
    <w:lvl w:ilvl="0" w:tplc="DA2C61B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B28662F"/>
    <w:multiLevelType w:val="multilevel"/>
    <w:tmpl w:val="B91C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717A2E"/>
    <w:multiLevelType w:val="hybridMultilevel"/>
    <w:tmpl w:val="EE00F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2673D4"/>
    <w:multiLevelType w:val="multilevel"/>
    <w:tmpl w:val="AA6C8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0513D7B"/>
    <w:multiLevelType w:val="multilevel"/>
    <w:tmpl w:val="B1BE3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6F0D69"/>
    <w:multiLevelType w:val="multilevel"/>
    <w:tmpl w:val="51B4C7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EF745A9"/>
    <w:multiLevelType w:val="hybridMultilevel"/>
    <w:tmpl w:val="4F26EF12"/>
    <w:lvl w:ilvl="0" w:tplc="733E999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41922B5"/>
    <w:multiLevelType w:val="multilevel"/>
    <w:tmpl w:val="4D0E7D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6475BBC"/>
    <w:multiLevelType w:val="multilevel"/>
    <w:tmpl w:val="2520C9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7025FF2"/>
    <w:multiLevelType w:val="multilevel"/>
    <w:tmpl w:val="2F60F5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95C1CE3"/>
    <w:multiLevelType w:val="multilevel"/>
    <w:tmpl w:val="EAEAC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16"/>
  </w:num>
  <w:num w:numId="4">
    <w:abstractNumId w:val="22"/>
  </w:num>
  <w:num w:numId="5">
    <w:abstractNumId w:val="1"/>
  </w:num>
  <w:num w:numId="6">
    <w:abstractNumId w:val="6"/>
  </w:num>
  <w:num w:numId="7">
    <w:abstractNumId w:val="3"/>
  </w:num>
  <w:num w:numId="8">
    <w:abstractNumId w:val="10"/>
  </w:num>
  <w:num w:numId="9">
    <w:abstractNumId w:val="9"/>
  </w:num>
  <w:num w:numId="10">
    <w:abstractNumId w:val="2"/>
  </w:num>
  <w:num w:numId="11">
    <w:abstractNumId w:val="4"/>
  </w:num>
  <w:num w:numId="12">
    <w:abstractNumId w:val="11"/>
  </w:num>
  <w:num w:numId="13">
    <w:abstractNumId w:val="13"/>
  </w:num>
  <w:num w:numId="14">
    <w:abstractNumId w:val="19"/>
  </w:num>
  <w:num w:numId="15">
    <w:abstractNumId w:val="25"/>
  </w:num>
  <w:num w:numId="16">
    <w:abstractNumId w:val="5"/>
  </w:num>
  <w:num w:numId="17">
    <w:abstractNumId w:val="18"/>
  </w:num>
  <w:num w:numId="18">
    <w:abstractNumId w:val="12"/>
  </w:num>
  <w:num w:numId="19">
    <w:abstractNumId w:val="26"/>
  </w:num>
  <w:num w:numId="20">
    <w:abstractNumId w:val="27"/>
  </w:num>
  <w:num w:numId="21">
    <w:abstractNumId w:val="14"/>
  </w:num>
  <w:num w:numId="22">
    <w:abstractNumId w:val="28"/>
  </w:num>
  <w:num w:numId="23">
    <w:abstractNumId w:val="8"/>
  </w:num>
  <w:num w:numId="24">
    <w:abstractNumId w:val="24"/>
  </w:num>
  <w:num w:numId="25">
    <w:abstractNumId w:val="29"/>
  </w:num>
  <w:num w:numId="26">
    <w:abstractNumId w:val="7"/>
  </w:num>
  <w:num w:numId="27">
    <w:abstractNumId w:val="0"/>
  </w:num>
  <w:num w:numId="28">
    <w:abstractNumId w:val="23"/>
  </w:num>
  <w:num w:numId="29">
    <w:abstractNumId w:val="1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9BA"/>
    <w:rsid w:val="0001121E"/>
    <w:rsid w:val="00073838"/>
    <w:rsid w:val="00113C39"/>
    <w:rsid w:val="001627C8"/>
    <w:rsid w:val="001628AF"/>
    <w:rsid w:val="00175540"/>
    <w:rsid w:val="001C6732"/>
    <w:rsid w:val="002159C7"/>
    <w:rsid w:val="002A2E01"/>
    <w:rsid w:val="003377D8"/>
    <w:rsid w:val="003662F2"/>
    <w:rsid w:val="00413941"/>
    <w:rsid w:val="00416C36"/>
    <w:rsid w:val="00434CFA"/>
    <w:rsid w:val="0049166D"/>
    <w:rsid w:val="004E2D31"/>
    <w:rsid w:val="00514B17"/>
    <w:rsid w:val="005333A3"/>
    <w:rsid w:val="00537EC2"/>
    <w:rsid w:val="0056590B"/>
    <w:rsid w:val="005F5889"/>
    <w:rsid w:val="0060546C"/>
    <w:rsid w:val="00641D5F"/>
    <w:rsid w:val="00655DBD"/>
    <w:rsid w:val="006903ED"/>
    <w:rsid w:val="0074392C"/>
    <w:rsid w:val="00785401"/>
    <w:rsid w:val="0078745D"/>
    <w:rsid w:val="00792C50"/>
    <w:rsid w:val="007C25A3"/>
    <w:rsid w:val="00845192"/>
    <w:rsid w:val="008456C1"/>
    <w:rsid w:val="008E7914"/>
    <w:rsid w:val="00923443"/>
    <w:rsid w:val="00953382"/>
    <w:rsid w:val="009756F1"/>
    <w:rsid w:val="00993670"/>
    <w:rsid w:val="00997F7C"/>
    <w:rsid w:val="009A1B85"/>
    <w:rsid w:val="00A42220"/>
    <w:rsid w:val="00A773F2"/>
    <w:rsid w:val="00A911A7"/>
    <w:rsid w:val="00AD07FA"/>
    <w:rsid w:val="00AF1502"/>
    <w:rsid w:val="00AF6DC8"/>
    <w:rsid w:val="00B14B24"/>
    <w:rsid w:val="00B336D7"/>
    <w:rsid w:val="00B51D16"/>
    <w:rsid w:val="00B75A09"/>
    <w:rsid w:val="00BB79BA"/>
    <w:rsid w:val="00CD45AB"/>
    <w:rsid w:val="00EE16B0"/>
    <w:rsid w:val="00F92E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66CF7-D890-48CE-9719-6D8AD6D41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BB79B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4">
    <w:name w:val="heading 4"/>
    <w:basedOn w:val="Standard"/>
    <w:link w:val="berschrift4Zchn"/>
    <w:uiPriority w:val="9"/>
    <w:qFormat/>
    <w:rsid w:val="00BB79BA"/>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paragraph" w:styleId="berschrift5">
    <w:name w:val="heading 5"/>
    <w:basedOn w:val="Standard"/>
    <w:next w:val="Standard"/>
    <w:link w:val="berschrift5Zchn"/>
    <w:uiPriority w:val="9"/>
    <w:semiHidden/>
    <w:unhideWhenUsed/>
    <w:qFormat/>
    <w:rsid w:val="00514B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B79BA"/>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BB79BA"/>
    <w:rPr>
      <w:rFonts w:ascii="Times New Roman" w:eastAsia="Times New Roman" w:hAnsi="Times New Roman" w:cs="Times New Roman"/>
      <w:b/>
      <w:bCs/>
      <w:sz w:val="24"/>
      <w:szCs w:val="24"/>
      <w:lang w:eastAsia="de-DE"/>
    </w:rPr>
  </w:style>
  <w:style w:type="paragraph" w:styleId="StandardWeb">
    <w:name w:val="Normal (Web)"/>
    <w:basedOn w:val="Standard"/>
    <w:uiPriority w:val="99"/>
    <w:unhideWhenUsed/>
    <w:rsid w:val="00BB79B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B79BA"/>
    <w:rPr>
      <w:color w:val="0000FF"/>
      <w:u w:val="single"/>
    </w:rPr>
  </w:style>
  <w:style w:type="paragraph" w:styleId="Kopfzeile">
    <w:name w:val="header"/>
    <w:basedOn w:val="Standard"/>
    <w:link w:val="KopfzeileZchn"/>
    <w:uiPriority w:val="99"/>
    <w:unhideWhenUsed/>
    <w:rsid w:val="004E2D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2D31"/>
  </w:style>
  <w:style w:type="paragraph" w:styleId="Fuzeile">
    <w:name w:val="footer"/>
    <w:basedOn w:val="Standard"/>
    <w:link w:val="FuzeileZchn"/>
    <w:uiPriority w:val="99"/>
    <w:unhideWhenUsed/>
    <w:rsid w:val="004E2D3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2D31"/>
  </w:style>
  <w:style w:type="paragraph" w:styleId="Listenabsatz">
    <w:name w:val="List Paragraph"/>
    <w:basedOn w:val="Standard"/>
    <w:uiPriority w:val="34"/>
    <w:qFormat/>
    <w:rsid w:val="00CD45AB"/>
    <w:pPr>
      <w:ind w:left="720"/>
      <w:contextualSpacing/>
    </w:pPr>
  </w:style>
  <w:style w:type="character" w:customStyle="1" w:styleId="berschrift5Zchn">
    <w:name w:val="Überschrift 5 Zchn"/>
    <w:basedOn w:val="Absatz-Standardschriftart"/>
    <w:link w:val="berschrift5"/>
    <w:uiPriority w:val="9"/>
    <w:semiHidden/>
    <w:rsid w:val="00514B17"/>
    <w:rPr>
      <w:rFonts w:asciiTheme="majorHAnsi" w:eastAsiaTheme="majorEastAsia" w:hAnsiTheme="majorHAnsi" w:cstheme="majorBidi"/>
      <w:color w:val="2E74B5" w:themeColor="accent1" w:themeShade="BF"/>
    </w:rPr>
  </w:style>
  <w:style w:type="paragraph" w:styleId="Sprechblasentext">
    <w:name w:val="Balloon Text"/>
    <w:basedOn w:val="Standard"/>
    <w:link w:val="SprechblasentextZchn"/>
    <w:uiPriority w:val="99"/>
    <w:semiHidden/>
    <w:unhideWhenUsed/>
    <w:rsid w:val="009533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3382"/>
    <w:rPr>
      <w:rFonts w:ascii="Tahoma" w:hAnsi="Tahoma" w:cs="Tahoma"/>
      <w:sz w:val="16"/>
      <w:szCs w:val="16"/>
    </w:rPr>
  </w:style>
  <w:style w:type="character" w:styleId="BesuchterHyperlink">
    <w:name w:val="FollowedHyperlink"/>
    <w:basedOn w:val="Absatz-Standardschriftart"/>
    <w:uiPriority w:val="99"/>
    <w:semiHidden/>
    <w:unhideWhenUsed/>
    <w:rsid w:val="00792C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446948">
      <w:bodyDiv w:val="1"/>
      <w:marLeft w:val="0"/>
      <w:marRight w:val="0"/>
      <w:marTop w:val="0"/>
      <w:marBottom w:val="0"/>
      <w:divBdr>
        <w:top w:val="none" w:sz="0" w:space="0" w:color="auto"/>
        <w:left w:val="none" w:sz="0" w:space="0" w:color="auto"/>
        <w:bottom w:val="none" w:sz="0" w:space="0" w:color="auto"/>
        <w:right w:val="none" w:sz="0" w:space="0" w:color="auto"/>
      </w:divBdr>
      <w:divsChild>
        <w:div w:id="1959726213">
          <w:marLeft w:val="0"/>
          <w:marRight w:val="0"/>
          <w:marTop w:val="0"/>
          <w:marBottom w:val="0"/>
          <w:divBdr>
            <w:top w:val="none" w:sz="0" w:space="0" w:color="auto"/>
            <w:left w:val="none" w:sz="0" w:space="0" w:color="auto"/>
            <w:bottom w:val="none" w:sz="0" w:space="0" w:color="auto"/>
            <w:right w:val="none" w:sz="0" w:space="0" w:color="auto"/>
          </w:divBdr>
        </w:div>
        <w:div w:id="1395352897">
          <w:marLeft w:val="0"/>
          <w:marRight w:val="0"/>
          <w:marTop w:val="0"/>
          <w:marBottom w:val="0"/>
          <w:divBdr>
            <w:top w:val="none" w:sz="0" w:space="0" w:color="auto"/>
            <w:left w:val="none" w:sz="0" w:space="0" w:color="auto"/>
            <w:bottom w:val="none" w:sz="0" w:space="0" w:color="auto"/>
            <w:right w:val="none" w:sz="0" w:space="0" w:color="auto"/>
          </w:divBdr>
        </w:div>
        <w:div w:id="1762990716">
          <w:marLeft w:val="0"/>
          <w:marRight w:val="0"/>
          <w:marTop w:val="0"/>
          <w:marBottom w:val="0"/>
          <w:divBdr>
            <w:top w:val="none" w:sz="0" w:space="0" w:color="auto"/>
            <w:left w:val="none" w:sz="0" w:space="0" w:color="auto"/>
            <w:bottom w:val="none" w:sz="0" w:space="0" w:color="auto"/>
            <w:right w:val="none" w:sz="0" w:space="0" w:color="auto"/>
          </w:divBdr>
        </w:div>
      </w:divsChild>
    </w:div>
    <w:div w:id="399181330">
      <w:bodyDiv w:val="1"/>
      <w:marLeft w:val="0"/>
      <w:marRight w:val="0"/>
      <w:marTop w:val="0"/>
      <w:marBottom w:val="0"/>
      <w:divBdr>
        <w:top w:val="none" w:sz="0" w:space="0" w:color="auto"/>
        <w:left w:val="none" w:sz="0" w:space="0" w:color="auto"/>
        <w:bottom w:val="none" w:sz="0" w:space="0" w:color="auto"/>
        <w:right w:val="none" w:sz="0" w:space="0" w:color="auto"/>
      </w:divBdr>
      <w:divsChild>
        <w:div w:id="1723407055">
          <w:marLeft w:val="0"/>
          <w:marRight w:val="0"/>
          <w:marTop w:val="0"/>
          <w:marBottom w:val="0"/>
          <w:divBdr>
            <w:top w:val="none" w:sz="0" w:space="0" w:color="auto"/>
            <w:left w:val="none" w:sz="0" w:space="0" w:color="auto"/>
            <w:bottom w:val="none" w:sz="0" w:space="0" w:color="auto"/>
            <w:right w:val="none" w:sz="0" w:space="0" w:color="auto"/>
          </w:divBdr>
        </w:div>
        <w:div w:id="359359988">
          <w:marLeft w:val="0"/>
          <w:marRight w:val="0"/>
          <w:marTop w:val="0"/>
          <w:marBottom w:val="0"/>
          <w:divBdr>
            <w:top w:val="none" w:sz="0" w:space="0" w:color="auto"/>
            <w:left w:val="none" w:sz="0" w:space="0" w:color="auto"/>
            <w:bottom w:val="none" w:sz="0" w:space="0" w:color="auto"/>
            <w:right w:val="none" w:sz="0" w:space="0" w:color="auto"/>
          </w:divBdr>
        </w:div>
        <w:div w:id="1903250344">
          <w:marLeft w:val="0"/>
          <w:marRight w:val="0"/>
          <w:marTop w:val="0"/>
          <w:marBottom w:val="0"/>
          <w:divBdr>
            <w:top w:val="none" w:sz="0" w:space="0" w:color="auto"/>
            <w:left w:val="none" w:sz="0" w:space="0" w:color="auto"/>
            <w:bottom w:val="none" w:sz="0" w:space="0" w:color="auto"/>
            <w:right w:val="none" w:sz="0" w:space="0" w:color="auto"/>
          </w:divBdr>
        </w:div>
      </w:divsChild>
    </w:div>
    <w:div w:id="1624115007">
      <w:bodyDiv w:val="1"/>
      <w:marLeft w:val="0"/>
      <w:marRight w:val="0"/>
      <w:marTop w:val="0"/>
      <w:marBottom w:val="0"/>
      <w:divBdr>
        <w:top w:val="none" w:sz="0" w:space="0" w:color="auto"/>
        <w:left w:val="none" w:sz="0" w:space="0" w:color="auto"/>
        <w:bottom w:val="none" w:sz="0" w:space="0" w:color="auto"/>
        <w:right w:val="none" w:sz="0" w:space="0" w:color="auto"/>
      </w:divBdr>
      <w:divsChild>
        <w:div w:id="1830291326">
          <w:marLeft w:val="0"/>
          <w:marRight w:val="0"/>
          <w:marTop w:val="0"/>
          <w:marBottom w:val="0"/>
          <w:divBdr>
            <w:top w:val="none" w:sz="0" w:space="0" w:color="auto"/>
            <w:left w:val="none" w:sz="0" w:space="0" w:color="auto"/>
            <w:bottom w:val="none" w:sz="0" w:space="0" w:color="auto"/>
            <w:right w:val="none" w:sz="0" w:space="0" w:color="auto"/>
          </w:divBdr>
        </w:div>
        <w:div w:id="2029748160">
          <w:marLeft w:val="0"/>
          <w:marRight w:val="0"/>
          <w:marTop w:val="0"/>
          <w:marBottom w:val="0"/>
          <w:divBdr>
            <w:top w:val="none" w:sz="0" w:space="0" w:color="auto"/>
            <w:left w:val="none" w:sz="0" w:space="0" w:color="auto"/>
            <w:bottom w:val="none" w:sz="0" w:space="0" w:color="auto"/>
            <w:right w:val="none" w:sz="0" w:space="0" w:color="auto"/>
          </w:divBdr>
        </w:div>
        <w:div w:id="1510408972">
          <w:marLeft w:val="0"/>
          <w:marRight w:val="0"/>
          <w:marTop w:val="0"/>
          <w:marBottom w:val="0"/>
          <w:divBdr>
            <w:top w:val="none" w:sz="0" w:space="0" w:color="auto"/>
            <w:left w:val="none" w:sz="0" w:space="0" w:color="auto"/>
            <w:bottom w:val="none" w:sz="0" w:space="0" w:color="auto"/>
            <w:right w:val="none" w:sz="0" w:space="0" w:color="auto"/>
          </w:divBdr>
        </w:div>
      </w:divsChild>
    </w:div>
    <w:div w:id="1655988653">
      <w:bodyDiv w:val="1"/>
      <w:marLeft w:val="0"/>
      <w:marRight w:val="0"/>
      <w:marTop w:val="0"/>
      <w:marBottom w:val="0"/>
      <w:divBdr>
        <w:top w:val="none" w:sz="0" w:space="0" w:color="auto"/>
        <w:left w:val="none" w:sz="0" w:space="0" w:color="auto"/>
        <w:bottom w:val="none" w:sz="0" w:space="0" w:color="auto"/>
        <w:right w:val="none" w:sz="0" w:space="0" w:color="auto"/>
      </w:divBdr>
      <w:divsChild>
        <w:div w:id="673605918">
          <w:marLeft w:val="0"/>
          <w:marRight w:val="0"/>
          <w:marTop w:val="0"/>
          <w:marBottom w:val="0"/>
          <w:divBdr>
            <w:top w:val="none" w:sz="0" w:space="0" w:color="auto"/>
            <w:left w:val="none" w:sz="0" w:space="0" w:color="auto"/>
            <w:bottom w:val="none" w:sz="0" w:space="0" w:color="auto"/>
            <w:right w:val="none" w:sz="0" w:space="0" w:color="auto"/>
          </w:divBdr>
        </w:div>
        <w:div w:id="2124808491">
          <w:marLeft w:val="0"/>
          <w:marRight w:val="0"/>
          <w:marTop w:val="0"/>
          <w:marBottom w:val="0"/>
          <w:divBdr>
            <w:top w:val="none" w:sz="0" w:space="0" w:color="auto"/>
            <w:left w:val="none" w:sz="0" w:space="0" w:color="auto"/>
            <w:bottom w:val="none" w:sz="0" w:space="0" w:color="auto"/>
            <w:right w:val="none" w:sz="0" w:space="0" w:color="auto"/>
          </w:divBdr>
        </w:div>
        <w:div w:id="742214841">
          <w:marLeft w:val="0"/>
          <w:marRight w:val="0"/>
          <w:marTop w:val="0"/>
          <w:marBottom w:val="0"/>
          <w:divBdr>
            <w:top w:val="none" w:sz="0" w:space="0" w:color="auto"/>
            <w:left w:val="none" w:sz="0" w:space="0" w:color="auto"/>
            <w:bottom w:val="none" w:sz="0" w:space="0" w:color="auto"/>
            <w:right w:val="none" w:sz="0" w:space="0" w:color="auto"/>
          </w:divBdr>
        </w:div>
      </w:divsChild>
    </w:div>
    <w:div w:id="1708603515">
      <w:bodyDiv w:val="1"/>
      <w:marLeft w:val="0"/>
      <w:marRight w:val="0"/>
      <w:marTop w:val="0"/>
      <w:marBottom w:val="0"/>
      <w:divBdr>
        <w:top w:val="none" w:sz="0" w:space="0" w:color="auto"/>
        <w:left w:val="none" w:sz="0" w:space="0" w:color="auto"/>
        <w:bottom w:val="none" w:sz="0" w:space="0" w:color="auto"/>
        <w:right w:val="none" w:sz="0" w:space="0" w:color="auto"/>
      </w:divBdr>
      <w:divsChild>
        <w:div w:id="766510126">
          <w:marLeft w:val="0"/>
          <w:marRight w:val="0"/>
          <w:marTop w:val="0"/>
          <w:marBottom w:val="0"/>
          <w:divBdr>
            <w:top w:val="none" w:sz="0" w:space="0" w:color="auto"/>
            <w:left w:val="none" w:sz="0" w:space="0" w:color="auto"/>
            <w:bottom w:val="none" w:sz="0" w:space="0" w:color="auto"/>
            <w:right w:val="none" w:sz="0" w:space="0" w:color="auto"/>
          </w:divBdr>
        </w:div>
        <w:div w:id="1710446614">
          <w:marLeft w:val="0"/>
          <w:marRight w:val="0"/>
          <w:marTop w:val="0"/>
          <w:marBottom w:val="0"/>
          <w:divBdr>
            <w:top w:val="none" w:sz="0" w:space="0" w:color="auto"/>
            <w:left w:val="none" w:sz="0" w:space="0" w:color="auto"/>
            <w:bottom w:val="none" w:sz="0" w:space="0" w:color="auto"/>
            <w:right w:val="none" w:sz="0" w:space="0" w:color="auto"/>
          </w:divBdr>
        </w:div>
        <w:div w:id="883518274">
          <w:marLeft w:val="0"/>
          <w:marRight w:val="0"/>
          <w:marTop w:val="0"/>
          <w:marBottom w:val="0"/>
          <w:divBdr>
            <w:top w:val="none" w:sz="0" w:space="0" w:color="auto"/>
            <w:left w:val="none" w:sz="0" w:space="0" w:color="auto"/>
            <w:bottom w:val="none" w:sz="0" w:space="0" w:color="auto"/>
            <w:right w:val="none" w:sz="0" w:space="0" w:color="auto"/>
          </w:divBdr>
        </w:div>
      </w:divsChild>
    </w:div>
    <w:div w:id="1849640921">
      <w:bodyDiv w:val="1"/>
      <w:marLeft w:val="0"/>
      <w:marRight w:val="0"/>
      <w:marTop w:val="0"/>
      <w:marBottom w:val="0"/>
      <w:divBdr>
        <w:top w:val="none" w:sz="0" w:space="0" w:color="auto"/>
        <w:left w:val="none" w:sz="0" w:space="0" w:color="auto"/>
        <w:bottom w:val="none" w:sz="0" w:space="0" w:color="auto"/>
        <w:right w:val="none" w:sz="0" w:space="0" w:color="auto"/>
      </w:divBdr>
      <w:divsChild>
        <w:div w:id="124399457">
          <w:marLeft w:val="0"/>
          <w:marRight w:val="0"/>
          <w:marTop w:val="0"/>
          <w:marBottom w:val="0"/>
          <w:divBdr>
            <w:top w:val="none" w:sz="0" w:space="0" w:color="auto"/>
            <w:left w:val="none" w:sz="0" w:space="0" w:color="auto"/>
            <w:bottom w:val="none" w:sz="0" w:space="0" w:color="auto"/>
            <w:right w:val="none" w:sz="0" w:space="0" w:color="auto"/>
          </w:divBdr>
        </w:div>
        <w:div w:id="1075544008">
          <w:marLeft w:val="0"/>
          <w:marRight w:val="0"/>
          <w:marTop w:val="0"/>
          <w:marBottom w:val="0"/>
          <w:divBdr>
            <w:top w:val="none" w:sz="0" w:space="0" w:color="auto"/>
            <w:left w:val="none" w:sz="0" w:space="0" w:color="auto"/>
            <w:bottom w:val="none" w:sz="0" w:space="0" w:color="auto"/>
            <w:right w:val="none" w:sz="0" w:space="0" w:color="auto"/>
          </w:divBdr>
        </w:div>
        <w:div w:id="1188179441">
          <w:marLeft w:val="0"/>
          <w:marRight w:val="0"/>
          <w:marTop w:val="0"/>
          <w:marBottom w:val="0"/>
          <w:divBdr>
            <w:top w:val="none" w:sz="0" w:space="0" w:color="auto"/>
            <w:left w:val="none" w:sz="0" w:space="0" w:color="auto"/>
            <w:bottom w:val="none" w:sz="0" w:space="0" w:color="auto"/>
            <w:right w:val="none" w:sz="0" w:space="0" w:color="auto"/>
          </w:divBdr>
        </w:div>
        <w:div w:id="43407753">
          <w:marLeft w:val="0"/>
          <w:marRight w:val="0"/>
          <w:marTop w:val="0"/>
          <w:marBottom w:val="0"/>
          <w:divBdr>
            <w:top w:val="none" w:sz="0" w:space="0" w:color="auto"/>
            <w:left w:val="none" w:sz="0" w:space="0" w:color="auto"/>
            <w:bottom w:val="none" w:sz="0" w:space="0" w:color="auto"/>
            <w:right w:val="none" w:sz="0" w:space="0" w:color="auto"/>
          </w:divBdr>
        </w:div>
      </w:divsChild>
    </w:div>
    <w:div w:id="1998411638">
      <w:bodyDiv w:val="1"/>
      <w:marLeft w:val="0"/>
      <w:marRight w:val="0"/>
      <w:marTop w:val="0"/>
      <w:marBottom w:val="0"/>
      <w:divBdr>
        <w:top w:val="none" w:sz="0" w:space="0" w:color="auto"/>
        <w:left w:val="none" w:sz="0" w:space="0" w:color="auto"/>
        <w:bottom w:val="none" w:sz="0" w:space="0" w:color="auto"/>
        <w:right w:val="none" w:sz="0" w:space="0" w:color="auto"/>
      </w:divBdr>
      <w:divsChild>
        <w:div w:id="2007510722">
          <w:marLeft w:val="0"/>
          <w:marRight w:val="0"/>
          <w:marTop w:val="0"/>
          <w:marBottom w:val="0"/>
          <w:divBdr>
            <w:top w:val="none" w:sz="0" w:space="0" w:color="auto"/>
            <w:left w:val="none" w:sz="0" w:space="0" w:color="auto"/>
            <w:bottom w:val="none" w:sz="0" w:space="0" w:color="auto"/>
            <w:right w:val="none" w:sz="0" w:space="0" w:color="auto"/>
          </w:divBdr>
        </w:div>
        <w:div w:id="1671254743">
          <w:marLeft w:val="0"/>
          <w:marRight w:val="0"/>
          <w:marTop w:val="0"/>
          <w:marBottom w:val="0"/>
          <w:divBdr>
            <w:top w:val="none" w:sz="0" w:space="0" w:color="auto"/>
            <w:left w:val="none" w:sz="0" w:space="0" w:color="auto"/>
            <w:bottom w:val="none" w:sz="0" w:space="0" w:color="auto"/>
            <w:right w:val="none" w:sz="0" w:space="0" w:color="auto"/>
          </w:divBdr>
        </w:div>
        <w:div w:id="355693556">
          <w:marLeft w:val="0"/>
          <w:marRight w:val="0"/>
          <w:marTop w:val="0"/>
          <w:marBottom w:val="0"/>
          <w:divBdr>
            <w:top w:val="none" w:sz="0" w:space="0" w:color="auto"/>
            <w:left w:val="none" w:sz="0" w:space="0" w:color="auto"/>
            <w:bottom w:val="none" w:sz="0" w:space="0" w:color="auto"/>
            <w:right w:val="none" w:sz="0" w:space="0" w:color="auto"/>
          </w:divBdr>
        </w:div>
        <w:div w:id="713699871">
          <w:marLeft w:val="0"/>
          <w:marRight w:val="0"/>
          <w:marTop w:val="0"/>
          <w:marBottom w:val="0"/>
          <w:divBdr>
            <w:top w:val="none" w:sz="0" w:space="0" w:color="auto"/>
            <w:left w:val="none" w:sz="0" w:space="0" w:color="auto"/>
            <w:bottom w:val="none" w:sz="0" w:space="0" w:color="auto"/>
            <w:right w:val="none" w:sz="0" w:space="0" w:color="auto"/>
          </w:divBdr>
        </w:div>
      </w:divsChild>
    </w:div>
    <w:div w:id="2095929334">
      <w:bodyDiv w:val="1"/>
      <w:marLeft w:val="0"/>
      <w:marRight w:val="0"/>
      <w:marTop w:val="0"/>
      <w:marBottom w:val="0"/>
      <w:divBdr>
        <w:top w:val="none" w:sz="0" w:space="0" w:color="auto"/>
        <w:left w:val="none" w:sz="0" w:space="0" w:color="auto"/>
        <w:bottom w:val="none" w:sz="0" w:space="0" w:color="auto"/>
        <w:right w:val="none" w:sz="0" w:space="0" w:color="auto"/>
      </w:divBdr>
      <w:divsChild>
        <w:div w:id="622811299">
          <w:marLeft w:val="0"/>
          <w:marRight w:val="0"/>
          <w:marTop w:val="0"/>
          <w:marBottom w:val="0"/>
          <w:divBdr>
            <w:top w:val="none" w:sz="0" w:space="0" w:color="auto"/>
            <w:left w:val="none" w:sz="0" w:space="0" w:color="auto"/>
            <w:bottom w:val="none" w:sz="0" w:space="0" w:color="auto"/>
            <w:right w:val="none" w:sz="0" w:space="0" w:color="auto"/>
          </w:divBdr>
        </w:div>
      </w:divsChild>
    </w:div>
    <w:div w:id="2128503207">
      <w:bodyDiv w:val="1"/>
      <w:marLeft w:val="0"/>
      <w:marRight w:val="0"/>
      <w:marTop w:val="0"/>
      <w:marBottom w:val="0"/>
      <w:divBdr>
        <w:top w:val="none" w:sz="0" w:space="0" w:color="auto"/>
        <w:left w:val="none" w:sz="0" w:space="0" w:color="auto"/>
        <w:bottom w:val="none" w:sz="0" w:space="0" w:color="auto"/>
        <w:right w:val="none" w:sz="0" w:space="0" w:color="auto"/>
      </w:divBdr>
      <w:divsChild>
        <w:div w:id="1938556437">
          <w:marLeft w:val="0"/>
          <w:marRight w:val="0"/>
          <w:marTop w:val="0"/>
          <w:marBottom w:val="0"/>
          <w:divBdr>
            <w:top w:val="none" w:sz="0" w:space="0" w:color="auto"/>
            <w:left w:val="none" w:sz="0" w:space="0" w:color="auto"/>
            <w:bottom w:val="none" w:sz="0" w:space="0" w:color="auto"/>
            <w:right w:val="none" w:sz="0" w:space="0" w:color="auto"/>
          </w:divBdr>
        </w:div>
        <w:div w:id="1362898685">
          <w:marLeft w:val="0"/>
          <w:marRight w:val="0"/>
          <w:marTop w:val="0"/>
          <w:marBottom w:val="0"/>
          <w:divBdr>
            <w:top w:val="none" w:sz="0" w:space="0" w:color="auto"/>
            <w:left w:val="none" w:sz="0" w:space="0" w:color="auto"/>
            <w:bottom w:val="none" w:sz="0" w:space="0" w:color="auto"/>
            <w:right w:val="none" w:sz="0" w:space="0" w:color="auto"/>
          </w:divBdr>
        </w:div>
        <w:div w:id="1285691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thegrafix.de/tutorial/stoch5b.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mathegrafix.de/tutorial/stoch5a.html"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www.mathegrafix.de/tutorial/stoch5d.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mathegrafix.de/tutorial/stoch5c.html"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1874</Words>
  <Characters>11808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2016-05-17T09:37:00Z</cp:lastPrinted>
  <dcterms:created xsi:type="dcterms:W3CDTF">2017-02-01T11:34:00Z</dcterms:created>
  <dcterms:modified xsi:type="dcterms:W3CDTF">2021-07-17T11:24:00Z</dcterms:modified>
</cp:coreProperties>
</file>